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10" w:rsidRDefault="00004F10" w:rsidP="00004F1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004F10" w:rsidRDefault="00004F10" w:rsidP="00004F1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постановлению Правительства</w:t>
      </w:r>
    </w:p>
    <w:p w:rsidR="00004F10" w:rsidRDefault="00004F10" w:rsidP="00004F1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Мурманской области</w:t>
      </w:r>
    </w:p>
    <w:p w:rsidR="00004F10" w:rsidRDefault="00004F10" w:rsidP="00004F1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 №  _______</w:t>
      </w:r>
    </w:p>
    <w:p w:rsidR="00004F10" w:rsidRDefault="00004F10" w:rsidP="00004F1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004F10" w:rsidRDefault="00004F10" w:rsidP="00004F1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015C85">
        <w:rPr>
          <w:rFonts w:ascii="Times New Roman" w:hAnsi="Times New Roman"/>
          <w:b/>
          <w:color w:val="000000"/>
          <w:sz w:val="28"/>
          <w:szCs w:val="28"/>
        </w:rPr>
        <w:t>Изменения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5C85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государственную программу Мурманской области </w:t>
      </w:r>
    </w:p>
    <w:p w:rsidR="00004F10" w:rsidRDefault="00004F10" w:rsidP="00004F10">
      <w:pPr>
        <w:pStyle w:val="ConsPlusTitle"/>
        <w:widowControl/>
        <w:jc w:val="center"/>
      </w:pPr>
      <w:r>
        <w:t>«Развитие физической культуры и спорта»</w:t>
      </w:r>
    </w:p>
    <w:p w:rsidR="00004F10" w:rsidRPr="006464B8" w:rsidRDefault="00004F10" w:rsidP="00004F1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DB308C" w:rsidRPr="00004F10" w:rsidRDefault="00004F10" w:rsidP="00004F10">
      <w:pPr>
        <w:pStyle w:val="ConsPlusNormal"/>
        <w:numPr>
          <w:ilvl w:val="0"/>
          <w:numId w:val="2"/>
        </w:numPr>
        <w:tabs>
          <w:tab w:val="left" w:pos="851"/>
        </w:tabs>
        <w:ind w:left="0" w:firstLine="720"/>
        <w:jc w:val="both"/>
        <w:outlineLvl w:val="2"/>
      </w:pPr>
      <w:r w:rsidRPr="00004F10">
        <w:rPr>
          <w:rFonts w:ascii="Times New Roman" w:hAnsi="Times New Roman"/>
          <w:sz w:val="28"/>
          <w:szCs w:val="28"/>
        </w:rPr>
        <w:t xml:space="preserve">Абзац 4 раздела 6 «Сведения об участии муниципальных образований в реализации государственной </w:t>
      </w:r>
      <w:proofErr w:type="gramStart"/>
      <w:r w:rsidRPr="00004F10">
        <w:rPr>
          <w:rFonts w:ascii="Times New Roman" w:hAnsi="Times New Roman"/>
          <w:sz w:val="28"/>
          <w:szCs w:val="28"/>
        </w:rPr>
        <w:t>программы»  изложить</w:t>
      </w:r>
      <w:proofErr w:type="gramEnd"/>
      <w:r w:rsidRPr="00004F10">
        <w:rPr>
          <w:rFonts w:ascii="Times New Roman" w:hAnsi="Times New Roman"/>
          <w:sz w:val="28"/>
          <w:szCs w:val="28"/>
        </w:rPr>
        <w:t xml:space="preserve"> в редакции: </w:t>
      </w:r>
      <w:r w:rsidRPr="006464B8">
        <w:rPr>
          <w:rFonts w:ascii="Times New Roman" w:hAnsi="Times New Roman"/>
          <w:sz w:val="28"/>
          <w:szCs w:val="28"/>
        </w:rPr>
        <w:t>«Финансовые средства из областного бюджета предоставляются в соответствии с правилами предоставления и распределения субсидий муниципальным образованиям Мурманской области (приложение № 1,2,3 и 8 к Государственной программе)</w:t>
      </w:r>
      <w:r>
        <w:rPr>
          <w:rFonts w:ascii="Times New Roman" w:hAnsi="Times New Roman"/>
          <w:sz w:val="28"/>
          <w:szCs w:val="28"/>
        </w:rPr>
        <w:t>».</w:t>
      </w:r>
    </w:p>
    <w:p w:rsidR="00004F10" w:rsidRDefault="00004F10" w:rsidP="00004F10">
      <w:pPr>
        <w:pStyle w:val="ConsPlusNormal"/>
        <w:numPr>
          <w:ilvl w:val="0"/>
          <w:numId w:val="2"/>
        </w:numPr>
        <w:tabs>
          <w:tab w:val="left" w:pos="851"/>
        </w:tabs>
        <w:ind w:left="0" w:firstLine="720"/>
        <w:jc w:val="both"/>
        <w:outlineLvl w:val="2"/>
      </w:pPr>
      <w:r>
        <w:rPr>
          <w:rFonts w:ascii="Times New Roman" w:hAnsi="Times New Roman"/>
          <w:sz w:val="28"/>
          <w:szCs w:val="28"/>
        </w:rPr>
        <w:t xml:space="preserve">Дополнить Государственную программу приложением № 8 следующего содержания: </w:t>
      </w:r>
    </w:p>
    <w:p w:rsidR="00004F10" w:rsidRDefault="00004F10" w:rsidP="00004F10">
      <w:pPr>
        <w:rPr>
          <w:lang w:eastAsia="ru-RU"/>
        </w:rPr>
      </w:pPr>
    </w:p>
    <w:p w:rsidR="00004F10" w:rsidRDefault="00004F10" w:rsidP="00004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«Приложение № 8</w:t>
      </w:r>
    </w:p>
    <w:p w:rsidR="00004F10" w:rsidRDefault="00004F10" w:rsidP="00004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государственной программе</w:t>
      </w:r>
    </w:p>
    <w:p w:rsidR="00004F10" w:rsidRDefault="00004F10" w:rsidP="00004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F10" w:rsidRDefault="00004F10" w:rsidP="00004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F10" w:rsidRDefault="00004F10" w:rsidP="00004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648">
        <w:rPr>
          <w:rFonts w:ascii="Times New Roman" w:hAnsi="Times New Roman"/>
          <w:b/>
          <w:sz w:val="28"/>
          <w:szCs w:val="28"/>
        </w:rPr>
        <w:t xml:space="preserve">Правила предоставления и распределения субсидий из областного бюджета бюджетам муниципальных районов (городских округов) Мурманской области на </w:t>
      </w:r>
      <w:r w:rsidR="00545237" w:rsidRPr="00D64648">
        <w:rPr>
          <w:rFonts w:ascii="Times New Roman" w:hAnsi="Times New Roman"/>
          <w:b/>
          <w:sz w:val="28"/>
          <w:szCs w:val="28"/>
        </w:rPr>
        <w:t>оказание финансовой поддержк</w:t>
      </w:r>
      <w:r w:rsidR="00653F34" w:rsidRPr="00D64648">
        <w:rPr>
          <w:rFonts w:ascii="Times New Roman" w:hAnsi="Times New Roman"/>
          <w:b/>
          <w:sz w:val="28"/>
          <w:szCs w:val="28"/>
        </w:rPr>
        <w:t>и</w:t>
      </w:r>
      <w:r w:rsidR="00545237" w:rsidRPr="00D64648">
        <w:rPr>
          <w:rFonts w:ascii="Times New Roman" w:hAnsi="Times New Roman"/>
          <w:b/>
          <w:sz w:val="28"/>
          <w:szCs w:val="28"/>
        </w:rPr>
        <w:t xml:space="preserve"> организаций, осуществляющих</w:t>
      </w:r>
      <w:r w:rsidRPr="00D64648">
        <w:rPr>
          <w:rFonts w:ascii="Times New Roman" w:hAnsi="Times New Roman"/>
          <w:b/>
          <w:sz w:val="28"/>
          <w:szCs w:val="28"/>
        </w:rPr>
        <w:t xml:space="preserve"> спортивную подготовку, </w:t>
      </w:r>
      <w:r w:rsidR="00545237" w:rsidRPr="00D64648">
        <w:rPr>
          <w:rFonts w:ascii="Times New Roman" w:hAnsi="Times New Roman"/>
          <w:b/>
          <w:sz w:val="28"/>
          <w:szCs w:val="28"/>
        </w:rPr>
        <w:t xml:space="preserve">на реализацию </w:t>
      </w:r>
      <w:r w:rsidRPr="00D64648">
        <w:rPr>
          <w:rFonts w:ascii="Times New Roman" w:hAnsi="Times New Roman"/>
          <w:b/>
          <w:sz w:val="28"/>
          <w:szCs w:val="28"/>
        </w:rPr>
        <w:t xml:space="preserve">программ </w:t>
      </w:r>
      <w:r w:rsidR="00545237" w:rsidRPr="00D64648">
        <w:rPr>
          <w:rFonts w:ascii="Times New Roman" w:hAnsi="Times New Roman"/>
          <w:b/>
          <w:sz w:val="28"/>
          <w:szCs w:val="28"/>
        </w:rPr>
        <w:t xml:space="preserve">спортивной </w:t>
      </w:r>
      <w:proofErr w:type="gramStart"/>
      <w:r w:rsidR="00545237" w:rsidRPr="00D64648">
        <w:rPr>
          <w:rFonts w:ascii="Times New Roman" w:hAnsi="Times New Roman"/>
          <w:b/>
          <w:sz w:val="28"/>
          <w:szCs w:val="28"/>
        </w:rPr>
        <w:t>подготовк</w:t>
      </w:r>
      <w:r w:rsidR="001D2534" w:rsidRPr="00D64648">
        <w:rPr>
          <w:rFonts w:ascii="Times New Roman" w:hAnsi="Times New Roman"/>
          <w:b/>
          <w:sz w:val="28"/>
          <w:szCs w:val="28"/>
        </w:rPr>
        <w:t>и</w:t>
      </w:r>
      <w:r w:rsidR="00545237" w:rsidRPr="00D64648">
        <w:rPr>
          <w:rFonts w:ascii="Times New Roman" w:hAnsi="Times New Roman"/>
          <w:b/>
          <w:sz w:val="28"/>
          <w:szCs w:val="28"/>
        </w:rPr>
        <w:t xml:space="preserve">  </w:t>
      </w:r>
      <w:r w:rsidR="001D2534" w:rsidRPr="00D6464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1D2534" w:rsidRPr="00D64648">
        <w:rPr>
          <w:rFonts w:ascii="Times New Roman" w:hAnsi="Times New Roman"/>
          <w:b/>
          <w:sz w:val="28"/>
          <w:szCs w:val="28"/>
        </w:rPr>
        <w:t xml:space="preserve"> базовым олимпийским видам спорта </w:t>
      </w:r>
      <w:r w:rsidR="00545237" w:rsidRPr="00D64648">
        <w:rPr>
          <w:rFonts w:ascii="Times New Roman" w:hAnsi="Times New Roman"/>
          <w:b/>
          <w:sz w:val="28"/>
          <w:szCs w:val="28"/>
        </w:rPr>
        <w:t>в соответствии с федеральными стандартами спортивной подготовки</w:t>
      </w:r>
      <w:r w:rsidR="00545237">
        <w:rPr>
          <w:rFonts w:ascii="Times New Roman" w:hAnsi="Times New Roman"/>
          <w:b/>
          <w:sz w:val="28"/>
          <w:szCs w:val="28"/>
        </w:rPr>
        <w:t xml:space="preserve"> </w:t>
      </w:r>
    </w:p>
    <w:p w:rsidR="00004F10" w:rsidRDefault="00004F10" w:rsidP="00004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F10" w:rsidRPr="00D64648" w:rsidRDefault="00004F10" w:rsidP="00694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1. Настоящие Правила устанавливают цель, условия и порядок предоставления и распределения субсидий из областного бюджета бюджетам муниципальных районов (городских округов) Мурманской области на </w:t>
      </w:r>
      <w:r w:rsidR="00653F34" w:rsidRPr="00D64648">
        <w:rPr>
          <w:rFonts w:ascii="Times New Roman" w:hAnsi="Times New Roman"/>
          <w:sz w:val="28"/>
          <w:szCs w:val="28"/>
        </w:rPr>
        <w:t xml:space="preserve">оказание финансовой поддержки </w:t>
      </w:r>
      <w:r w:rsidRPr="00D64648">
        <w:rPr>
          <w:rFonts w:ascii="Times New Roman" w:hAnsi="Times New Roman"/>
          <w:sz w:val="28"/>
          <w:szCs w:val="28"/>
        </w:rPr>
        <w:t>организаци</w:t>
      </w:r>
      <w:r w:rsidR="00653F34" w:rsidRPr="00D64648">
        <w:rPr>
          <w:rFonts w:ascii="Times New Roman" w:hAnsi="Times New Roman"/>
          <w:sz w:val="28"/>
          <w:szCs w:val="28"/>
        </w:rPr>
        <w:t>й</w:t>
      </w:r>
      <w:r w:rsidRPr="00D64648">
        <w:rPr>
          <w:rFonts w:ascii="Times New Roman" w:hAnsi="Times New Roman"/>
          <w:sz w:val="28"/>
          <w:szCs w:val="28"/>
        </w:rPr>
        <w:t>, осуществляющи</w:t>
      </w:r>
      <w:r w:rsidR="00653F34" w:rsidRPr="00D64648">
        <w:rPr>
          <w:rFonts w:ascii="Times New Roman" w:hAnsi="Times New Roman"/>
          <w:sz w:val="28"/>
          <w:szCs w:val="28"/>
        </w:rPr>
        <w:t>х</w:t>
      </w:r>
      <w:r w:rsidRPr="00D64648">
        <w:rPr>
          <w:rFonts w:ascii="Times New Roman" w:hAnsi="Times New Roman"/>
          <w:sz w:val="28"/>
          <w:szCs w:val="28"/>
        </w:rPr>
        <w:t xml:space="preserve"> спортивную подготовку,</w:t>
      </w:r>
      <w:r w:rsidR="00135FD1" w:rsidRPr="00D64648">
        <w:rPr>
          <w:rFonts w:ascii="Times New Roman" w:hAnsi="Times New Roman"/>
          <w:sz w:val="28"/>
          <w:szCs w:val="28"/>
        </w:rPr>
        <w:t xml:space="preserve"> на реализацию</w:t>
      </w:r>
      <w:r w:rsidRPr="00D64648">
        <w:rPr>
          <w:rFonts w:ascii="Times New Roman" w:hAnsi="Times New Roman"/>
          <w:sz w:val="28"/>
          <w:szCs w:val="28"/>
        </w:rPr>
        <w:t xml:space="preserve"> программ спортивной подготовки по базовым олимпийским </w:t>
      </w:r>
      <w:proofErr w:type="gramStart"/>
      <w:r w:rsidRPr="00D64648">
        <w:rPr>
          <w:rFonts w:ascii="Times New Roman" w:hAnsi="Times New Roman"/>
          <w:sz w:val="28"/>
          <w:szCs w:val="28"/>
        </w:rPr>
        <w:t>видам  спорта</w:t>
      </w:r>
      <w:proofErr w:type="gramEnd"/>
      <w:r w:rsidRPr="00D64648">
        <w:rPr>
          <w:rFonts w:ascii="Times New Roman" w:hAnsi="Times New Roman"/>
          <w:sz w:val="28"/>
          <w:szCs w:val="28"/>
        </w:rPr>
        <w:t xml:space="preserve">  (далее – виды спорта) в соответствии с федеральными стандартами спортивной подготовки (далее – Субсидия).</w:t>
      </w:r>
      <w:r w:rsidR="00545237" w:rsidRPr="00D64648">
        <w:rPr>
          <w:rFonts w:ascii="Times New Roman" w:eastAsiaTheme="minorHAnsi" w:hAnsi="Times New Roman"/>
          <w:sz w:val="21"/>
          <w:szCs w:val="21"/>
        </w:rPr>
        <w:t xml:space="preserve"> </w:t>
      </w:r>
    </w:p>
    <w:p w:rsidR="00004F10" w:rsidRPr="00D64648" w:rsidRDefault="00004F10" w:rsidP="00694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2. Субсидии предоставляются бюджетам муниципальных районов (городских округов) Мурманской области в целях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районов (городских округов) по вопросам местного значения на</w:t>
      </w:r>
      <w:r w:rsidR="00135FD1" w:rsidRPr="00D64648">
        <w:rPr>
          <w:rFonts w:ascii="Times New Roman" w:hAnsi="Times New Roman"/>
          <w:sz w:val="28"/>
          <w:szCs w:val="28"/>
        </w:rPr>
        <w:t xml:space="preserve"> оказание финансовой поддержки организаций</w:t>
      </w:r>
      <w:r w:rsidRPr="00D64648">
        <w:rPr>
          <w:rFonts w:ascii="Times New Roman" w:hAnsi="Times New Roman"/>
          <w:sz w:val="28"/>
          <w:szCs w:val="28"/>
        </w:rPr>
        <w:t>, осуществляющи</w:t>
      </w:r>
      <w:r w:rsidR="00135FD1" w:rsidRPr="00D64648">
        <w:rPr>
          <w:rFonts w:ascii="Times New Roman" w:hAnsi="Times New Roman"/>
          <w:sz w:val="28"/>
          <w:szCs w:val="28"/>
        </w:rPr>
        <w:t>х</w:t>
      </w:r>
      <w:r w:rsidRPr="00D64648">
        <w:rPr>
          <w:rFonts w:ascii="Times New Roman" w:hAnsi="Times New Roman"/>
          <w:sz w:val="28"/>
          <w:szCs w:val="28"/>
        </w:rPr>
        <w:t xml:space="preserve"> спортивную подготовку, программ спортивной подготовки </w:t>
      </w:r>
      <w:r w:rsidRPr="00D64648">
        <w:rPr>
          <w:rFonts w:ascii="Times New Roman" w:hAnsi="Times New Roman"/>
          <w:sz w:val="28"/>
          <w:szCs w:val="28"/>
        </w:rPr>
        <w:lastRenderedPageBreak/>
        <w:t>по видам спорта в соответствии с федеральными стандартами спортивной подготовки (далее - организации).</w:t>
      </w:r>
      <w:bookmarkStart w:id="0" w:name="_GoBack"/>
      <w:bookmarkEnd w:id="0"/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3. Субсидии предоставляются Комитетом по физической культуре и спорту Мурманской области (далее - Комитет) в соответствии со сводной бюджетной росписью областного бюджета, кассовым планом выплат, в пределах лимитов бюджетных обязательств, предусмотренных на указанные цели.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4. Условия предоставления Субсидии: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наличие муниципальной программы, в рамках которой организациями, осуществляющими спортивную подготовку, осуществляется реализация программ спортивной подготовки по видам спорта в соответствии с федеральными стандартами спортивной подготовки;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наличие в местных бюджетах бюджетных ассигнований на финансовое обеспечение организации;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включение в состав спортивной сборной команды Мурманской области по виду спорта и (или) спортивной сборной команды Российской Федерации по виду спорта (далее – спортивная сборная) спортсмена организации, который зачислен в организацию не менее чем за год до момента приобретения статуса члена спортивной сборной и продолжает прохождение программы спортивной подготовки в соответствующей организации (далее - спортсмен);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- при осуществлении за счет Субсидии закупок товаров, работ, услуг конкурентными способами определения поставщиков (подрядчиков, исполнителей) (открытый конкурс, конкурс с ограниченным участием, двухэтапный конкурс, аукцион в электронной форме, запрос предложений), обязательным условием предоставления Субсидии является централизация закупок в соответствии с </w:t>
      </w:r>
      <w:hyperlink r:id="rId8" w:history="1">
        <w:r w:rsidRPr="00D64648">
          <w:rPr>
            <w:rStyle w:val="a5"/>
            <w:rFonts w:ascii="Times New Roman" w:eastAsia="Calibri" w:hAnsi="Times New Roman"/>
            <w:color w:val="auto"/>
            <w:sz w:val="28"/>
            <w:szCs w:val="28"/>
            <w:u w:val="none"/>
          </w:rPr>
          <w:t>частью 7 статьи 26</w:t>
        </w:r>
      </w:hyperlink>
      <w:r w:rsidRPr="00D64648">
        <w:rPr>
          <w:rFonts w:ascii="Times New Roman" w:hAnsi="Times New Roman"/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(за исключением случаев, когда такие закупки осуществляются уполномоченным органом, уполномоченным учреждением из числа муниципальных органов, муниципальных казенных учреждений городских округов и муниципальных районов Мурманской области, полномочия которых определены решениями органов местного самоуправления). В этом случае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- заключение соглашения о предоставлении Субсидии из областного бюджета местному бюджету, предусматривающего обязательства муниципального района (городского округа) по исполнению расходных обязательств, на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которых предоставляется Субсидия, и ответственность за невыполнение предусмотренных указанным соглашением обязательств.  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lastRenderedPageBreak/>
        <w:t xml:space="preserve">5. Уровень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   района (городского округа), источником которого является Субсидия, устанавливается в соответствии с предельным уровнем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образования из областного бюджета, утвержденным постановлением Правительства Мурманской области.   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6. Субсидии предоставляются бюджетам муниципальных районов (городских округов), отобранных Комитетом по итогам проведения оценки заявок на получение Субсидии. 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7. Администрация    муниципального    района </w:t>
      </w:r>
      <w:proofErr w:type="gramStart"/>
      <w:r w:rsidRPr="00D6464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D64648">
        <w:rPr>
          <w:rFonts w:ascii="Times New Roman" w:hAnsi="Times New Roman"/>
          <w:sz w:val="28"/>
          <w:szCs w:val="28"/>
        </w:rPr>
        <w:t>городского округа)    (далее - администрация) представляет в Комитет заявку на предоставление Субсидии по форме согласно приложению № 1 к Правилам (далее - Заявка).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К заявке должны быть приложены следующие документы: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копия муниципальной программы;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выписка из решения о местном бюджете, подтверждающая наличие бюджетных ассигнований на осуществление в текущем финансовом году соответствующих расходных обязательств;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копии приказов организации о зачислении в неё спортсмена, заверенные руководителем соответствующей организации.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8. В случае если администрацией предоставлены документы, не соответствующие требованиям, предусмотренным пунктом 7 Правил, Комитет в течение 3 рабочих дней возвращает администрации документы с указанием причин возврата.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9. Комитет осуществляет рассмотрение заявок, соответствующих требованиям пункта 7 Правил, в течение 10 рабочих дней со дня окончания срока подачи заявок, по результатам которого принимает решение о предоставлении Субсидии бюджету муниципального района (городского округа) с указанием ее размера, определенного в соответствии с пунктом 11 Правил, или об отказе в предоставлении Субсидии.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10. Критерием отбора муниципальных районов (городских округов) является численность спортсменов, ставших членами спортивных сборных, подготовленных организациями.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11.  Размер Субсидии бюджету </w:t>
      </w:r>
      <w:r w:rsidRPr="00D64648">
        <w:rPr>
          <w:rFonts w:ascii="Times New Roman" w:hAnsi="Times New Roman"/>
          <w:sz w:val="28"/>
          <w:szCs w:val="28"/>
          <w:lang w:val="en-US"/>
        </w:rPr>
        <w:t>i</w:t>
      </w:r>
      <w:r w:rsidRPr="00D64648">
        <w:rPr>
          <w:rFonts w:ascii="Times New Roman" w:hAnsi="Times New Roman"/>
          <w:sz w:val="28"/>
          <w:szCs w:val="28"/>
        </w:rPr>
        <w:t>-го муниципального района (городского округа) предоставляемой Комитетом, определяется по формуле:</w:t>
      </w:r>
    </w:p>
    <w:p w:rsidR="00004F10" w:rsidRPr="00D64648" w:rsidRDefault="00004F10" w:rsidP="00004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   </w:t>
      </w:r>
    </w:p>
    <w:p w:rsidR="00004F10" w:rsidRPr="00D64648" w:rsidRDefault="00004F10" w:rsidP="00004F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 xml:space="preserve"> х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Ci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D64648">
        <w:rPr>
          <w:rFonts w:ascii="Times New Roman" w:hAnsi="Times New Roman"/>
          <w:sz w:val="28"/>
          <w:szCs w:val="28"/>
        </w:rPr>
        <w:t xml:space="preserve"> , где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  <w:lang w:val="en-US"/>
        </w:rPr>
        <w:t>Si</w:t>
      </w:r>
      <w:r w:rsidRPr="00D64648">
        <w:rPr>
          <w:rFonts w:ascii="Times New Roman" w:hAnsi="Times New Roman"/>
          <w:sz w:val="28"/>
          <w:szCs w:val="28"/>
        </w:rPr>
        <w:t xml:space="preserve"> - размер Субсидии, предоставляемой местному бюджету </w:t>
      </w:r>
      <w:r w:rsidRPr="00D64648">
        <w:rPr>
          <w:rFonts w:ascii="Times New Roman" w:hAnsi="Times New Roman"/>
          <w:sz w:val="28"/>
          <w:szCs w:val="28"/>
          <w:lang w:val="en-US"/>
        </w:rPr>
        <w:t>i</w:t>
      </w:r>
      <w:r w:rsidRPr="00D64648">
        <w:rPr>
          <w:rFonts w:ascii="Times New Roman" w:hAnsi="Times New Roman"/>
          <w:sz w:val="28"/>
          <w:szCs w:val="28"/>
        </w:rPr>
        <w:t>-го муниципального района (городского округа), в тысячах рублей;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  <w:lang w:val="en-US"/>
        </w:rPr>
        <w:t>S</w:t>
      </w:r>
      <w:r w:rsidRPr="00D6464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64648">
        <w:rPr>
          <w:rFonts w:ascii="Times New Roman" w:hAnsi="Times New Roman"/>
          <w:sz w:val="28"/>
          <w:szCs w:val="28"/>
        </w:rPr>
        <w:t>общий</w:t>
      </w:r>
      <w:proofErr w:type="gramEnd"/>
      <w:r w:rsidRPr="00D64648">
        <w:rPr>
          <w:rFonts w:ascii="Times New Roman" w:hAnsi="Times New Roman"/>
          <w:sz w:val="28"/>
          <w:szCs w:val="28"/>
        </w:rPr>
        <w:t xml:space="preserve"> объем Субсидий, подлежащий распределению в текущем финансовом году;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648">
        <w:rPr>
          <w:rFonts w:ascii="Times New Roman" w:hAnsi="Times New Roman"/>
          <w:sz w:val="28"/>
          <w:szCs w:val="28"/>
          <w:lang w:val="en-US"/>
        </w:rPr>
        <w:lastRenderedPageBreak/>
        <w:t>Ci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– численность спортсменов, ставших членами спортивной сборной, подготовленных организациями, учредителем которых является </w:t>
      </w:r>
      <w:r w:rsidRPr="00D64648">
        <w:rPr>
          <w:rFonts w:ascii="Times New Roman" w:hAnsi="Times New Roman"/>
          <w:sz w:val="28"/>
          <w:szCs w:val="28"/>
          <w:lang w:val="en-US"/>
        </w:rPr>
        <w:t>i</w:t>
      </w:r>
      <w:r w:rsidRPr="00D64648">
        <w:rPr>
          <w:rFonts w:ascii="Times New Roman" w:hAnsi="Times New Roman"/>
          <w:sz w:val="28"/>
          <w:szCs w:val="28"/>
        </w:rPr>
        <w:t>-й муниципальный район (городской округ);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  <w:lang w:val="en-US"/>
        </w:rPr>
        <w:t>C</w:t>
      </w:r>
      <w:r w:rsidRPr="00D6464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64648">
        <w:rPr>
          <w:rFonts w:ascii="Times New Roman" w:hAnsi="Times New Roman"/>
          <w:sz w:val="28"/>
          <w:szCs w:val="28"/>
        </w:rPr>
        <w:t>общая</w:t>
      </w:r>
      <w:proofErr w:type="gramEnd"/>
      <w:r w:rsidRPr="00D64648">
        <w:rPr>
          <w:rFonts w:ascii="Times New Roman" w:hAnsi="Times New Roman"/>
          <w:sz w:val="28"/>
          <w:szCs w:val="28"/>
        </w:rPr>
        <w:t xml:space="preserve"> численность спортсменов, ставших членами спортивной сборной, подготовленных организациями муниципальных районов (городских округов), подавших заявки на предоставлении Субсидии;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  <w:lang w:val="en-US"/>
        </w:rPr>
        <w:t>K</w:t>
      </w:r>
      <w:r w:rsidRPr="00D6464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64648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D64648">
        <w:rPr>
          <w:rFonts w:ascii="Times New Roman" w:hAnsi="Times New Roman"/>
          <w:sz w:val="28"/>
          <w:szCs w:val="28"/>
        </w:rPr>
        <w:t xml:space="preserve"> зависимости от уровня расчетной бюджетной обеспеченности муниципального района (городского округа).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Коэффициент </w:t>
      </w:r>
      <w:proofErr w:type="gramStart"/>
      <w:r w:rsidRPr="00D64648">
        <w:rPr>
          <w:rFonts w:ascii="Times New Roman" w:hAnsi="Times New Roman"/>
          <w:sz w:val="28"/>
          <w:szCs w:val="28"/>
        </w:rPr>
        <w:t>составляет :</w:t>
      </w:r>
      <w:proofErr w:type="gramEnd"/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для муниципальных районов (городских округов) с уровнем бюджетной обеспеченности до 0,8 – 0,9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для муниципальных районов (городских округов) с уровнем бюджетной обеспеченности от 0,8 до 1,0 – 0,7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для муниципальных районов (городских округов) с уровнем бюджетной обеспеченности от 1,0 до 1,2 – 0,6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для муниципальных районов (городских округов) с уровнем бюджетной обеспеченности от 1,2 и выше – 0,5/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  <w:lang w:val="en-US"/>
        </w:rPr>
        <w:t>n</w:t>
      </w:r>
      <w:r w:rsidRPr="00D6464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64648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D64648">
        <w:rPr>
          <w:rFonts w:ascii="Times New Roman" w:hAnsi="Times New Roman"/>
          <w:sz w:val="28"/>
          <w:szCs w:val="28"/>
        </w:rPr>
        <w:t xml:space="preserve"> муниципальных районов (городских округов), соответствующих критериям отбора для предоставления субсидии, прошедших отбор и учитываемых при распределении субсидий.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12. Показателями результативности использования Субсидии являются: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648">
        <w:rPr>
          <w:rFonts w:ascii="Times New Roman" w:hAnsi="Times New Roman"/>
          <w:sz w:val="28"/>
          <w:szCs w:val="28"/>
        </w:rPr>
        <w:t>а</w:t>
      </w:r>
      <w:proofErr w:type="gramEnd"/>
      <w:r w:rsidRPr="00D64648">
        <w:rPr>
          <w:rFonts w:ascii="Times New Roman" w:hAnsi="Times New Roman"/>
          <w:sz w:val="28"/>
          <w:szCs w:val="28"/>
        </w:rPr>
        <w:t>) доля организаций в общем количестве муниципальных организаций в сфере физической культуры и спорта и муниципальных организаций дополнительного образования в сфере физической культуры и спорта, в том числе для лиц с ограниченными возможностями здоровья и инвалидов;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648">
        <w:rPr>
          <w:rFonts w:ascii="Times New Roman" w:hAnsi="Times New Roman"/>
          <w:sz w:val="28"/>
          <w:szCs w:val="28"/>
        </w:rPr>
        <w:t>б</w:t>
      </w:r>
      <w:proofErr w:type="gramEnd"/>
      <w:r w:rsidRPr="00D64648">
        <w:rPr>
          <w:rFonts w:ascii="Times New Roman" w:hAnsi="Times New Roman"/>
          <w:sz w:val="28"/>
          <w:szCs w:val="28"/>
        </w:rPr>
        <w:t xml:space="preserve">) соотношение фактического объема финансирования муниципальных услуг по реализации программ спортивной подготовки к объему финансирования, необходимому для реализации программ спортивной подготовки в соответствии с федеральными стандартами спортивной подготовки в полном объеме. 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Плановые значения показателей результативности использования Субсидии для каждого муниципального района (городского округа), получающего Субсидию, устанавливается соглашениями, заключенными в соответствии с пунктом 13 Правил.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Показатель результативности использования Субсидии, предусмотренный подпунктом «а» пункта 12 Правил (Р), рассчитывается по формуле: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F10" w:rsidRPr="00D64648" w:rsidRDefault="00004F10" w:rsidP="00004F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Р = Р</w:t>
      </w:r>
      <w:r w:rsidRPr="00D64648">
        <w:rPr>
          <w:rFonts w:ascii="Times New Roman" w:hAnsi="Times New Roman"/>
          <w:sz w:val="28"/>
          <w:szCs w:val="28"/>
          <w:lang w:val="en-US"/>
        </w:rPr>
        <w:t>f</w:t>
      </w:r>
      <w:r w:rsidRPr="00D64648">
        <w:rPr>
          <w:rFonts w:ascii="Times New Roman" w:hAnsi="Times New Roman"/>
          <w:sz w:val="28"/>
          <w:szCs w:val="28"/>
        </w:rPr>
        <w:t>/</w:t>
      </w:r>
      <w:proofErr w:type="spellStart"/>
      <w:r w:rsidRPr="00D64648">
        <w:rPr>
          <w:rFonts w:ascii="Times New Roman" w:hAnsi="Times New Roman"/>
          <w:sz w:val="28"/>
          <w:szCs w:val="28"/>
          <w:lang w:val="en-US"/>
        </w:rPr>
        <w:t>Pp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х 100, где:</w:t>
      </w:r>
    </w:p>
    <w:p w:rsidR="00004F10" w:rsidRPr="00D64648" w:rsidRDefault="00004F10" w:rsidP="00004F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Р</w:t>
      </w:r>
      <w:r w:rsidRPr="00D64648">
        <w:rPr>
          <w:rFonts w:ascii="Times New Roman" w:hAnsi="Times New Roman"/>
          <w:sz w:val="28"/>
          <w:szCs w:val="28"/>
          <w:lang w:val="en-US"/>
        </w:rPr>
        <w:t>f</w:t>
      </w:r>
      <w:r w:rsidRPr="00D64648">
        <w:rPr>
          <w:rFonts w:ascii="Times New Roman" w:hAnsi="Times New Roman"/>
          <w:sz w:val="28"/>
          <w:szCs w:val="28"/>
        </w:rPr>
        <w:t xml:space="preserve"> – количество муниципальных организаций, оказывающих услуги по спортивной подготовке в соответствии с федеральными стандартами спортивной подготовки;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648">
        <w:rPr>
          <w:rFonts w:ascii="Times New Roman" w:hAnsi="Times New Roman"/>
          <w:sz w:val="28"/>
          <w:szCs w:val="28"/>
          <w:lang w:val="en-US"/>
        </w:rPr>
        <w:lastRenderedPageBreak/>
        <w:t>Pp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– общее количество муниципальных организаций в сфере физической культуры и спорта и муниципальных организаций дополнительного образования в сфере физической культуры и спорта, в том числе для лиц с ограниченными возможностями здоровья и инвалидов.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Показатель результативности использования Субсидии, предусмотренный подпунктом «б» пункта 12 Правил (Р1), рассчитывается по формуле: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F10" w:rsidRPr="00D64648" w:rsidRDefault="00004F10" w:rsidP="00004F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Р1 = </w:t>
      </w:r>
      <w:proofErr w:type="spellStart"/>
      <w:r w:rsidRPr="00D64648">
        <w:rPr>
          <w:rFonts w:ascii="Times New Roman" w:hAnsi="Times New Roman"/>
          <w:sz w:val="28"/>
          <w:szCs w:val="28"/>
          <w:lang w:val="en-US"/>
        </w:rPr>
        <w:t>Vf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64648">
        <w:rPr>
          <w:rFonts w:ascii="Times New Roman" w:hAnsi="Times New Roman"/>
          <w:sz w:val="28"/>
          <w:szCs w:val="28"/>
          <w:lang w:val="en-US"/>
        </w:rPr>
        <w:t>Vp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х 100, где:</w:t>
      </w:r>
    </w:p>
    <w:p w:rsidR="00004F10" w:rsidRPr="00D64648" w:rsidRDefault="00004F10" w:rsidP="00004F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4648">
        <w:rPr>
          <w:rFonts w:ascii="Times New Roman" w:hAnsi="Times New Roman"/>
          <w:sz w:val="28"/>
          <w:szCs w:val="28"/>
          <w:lang w:val="en-US"/>
        </w:rPr>
        <w:t>Vf</w:t>
      </w:r>
      <w:proofErr w:type="spellEnd"/>
      <w:proofErr w:type="gramEnd"/>
      <w:r w:rsidRPr="00D64648">
        <w:rPr>
          <w:rFonts w:ascii="Times New Roman" w:hAnsi="Times New Roman"/>
          <w:sz w:val="28"/>
          <w:szCs w:val="28"/>
        </w:rPr>
        <w:t xml:space="preserve"> – фактический объем финансирования муниципальной услуги по реализации программ спортивной подготовки;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4648">
        <w:rPr>
          <w:rFonts w:ascii="Times New Roman" w:hAnsi="Times New Roman"/>
          <w:sz w:val="28"/>
          <w:szCs w:val="28"/>
          <w:lang w:val="en-US"/>
        </w:rPr>
        <w:t>Vp</w:t>
      </w:r>
      <w:proofErr w:type="spellEnd"/>
      <w:proofErr w:type="gramEnd"/>
      <w:r w:rsidRPr="00D64648">
        <w:rPr>
          <w:rFonts w:ascii="Times New Roman" w:hAnsi="Times New Roman"/>
          <w:sz w:val="28"/>
          <w:szCs w:val="28"/>
        </w:rPr>
        <w:t xml:space="preserve"> - объем финансирования, необходимый для реализации программ спортивной подготовки в соответствии с федеральными стандартами спортивной подготовки в полном объеме.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13. Предоставление Субсидии осуществляется в соответствии с соглашением, заключенным между Комитетом и органами местного самоуправления муниципальных районов (городских округов), согласно требованиям, установленным </w:t>
      </w:r>
      <w:hyperlink r:id="rId9" w:history="1">
        <w:r w:rsidRPr="00D64648">
          <w:rPr>
            <w:rStyle w:val="a5"/>
            <w:rFonts w:ascii="Times New Roman" w:eastAsia="Calibri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64648">
        <w:rPr>
          <w:rFonts w:ascii="Times New Roman" w:hAnsi="Times New Roman"/>
          <w:sz w:val="28"/>
          <w:szCs w:val="28"/>
        </w:rPr>
        <w:t xml:space="preserve"> Правительства Мурманской области от 05.09.2011 № 445-ПП.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Соглашение заключается в соответствии с типовой формой, утвержденной Министерством финансов Мурманской области.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14. Органы местного самоуправления муниципальных районов (городских округов) ежеквартально представляют в Комитет в срок до 20-го числа месяца, предшествующего очередному кварталу, заявку на предоставление Субсидии по утвержденной Комитетом форме.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15. При заключении соглашения уполномоченными органами местного самоуправления муниципальных районов (городских округов) Комитету представляется отчет об исполнении условий предоставления Субсидий по форме, установленной соглашением.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16. Комитет перечисляет Субсидии в бюджеты муниципальных районов (городских округов) на счета территориальных органов Федерального казначейства, открытые для кассового обслуживания исполнения местных бюджетов, на лицевой счет соответствующего администратора доходов, уполномоченного на использование Субсидии.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Учет операций, связанных с использованием Субсидий, осуществляется на лицевых счетах получателей средств (муниципальных районов (городских округов)), открытых в территориальных органах Федерального казначейства.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17. В случае если объем бюджетных ассигнований в местном бюджете на исполнение расходного обязательства муниципального района (городского района) предусмотрен в объеме, превышающем размер расходного обязательства муниципального района (городского округа), в целях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которого предоставляется Субсидия, указанные </w:t>
      </w:r>
      <w:r w:rsidRPr="00D64648">
        <w:rPr>
          <w:rFonts w:ascii="Times New Roman" w:hAnsi="Times New Roman"/>
          <w:sz w:val="28"/>
          <w:szCs w:val="28"/>
        </w:rPr>
        <w:lastRenderedPageBreak/>
        <w:t xml:space="preserve">бюджетные ассигнования предусматриваются по иным кодам классификации расходов, отличным от кодов классификации расходов местных бюджетов, по которым предусмотрены бюджетные ассигнования на исполнение расходного обязательства муниципального района (городского округа),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софинансируемого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из областного бюджета, либо уровень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4648">
        <w:rPr>
          <w:rFonts w:ascii="Times New Roman" w:hAnsi="Times New Roman"/>
          <w:sz w:val="28"/>
          <w:szCs w:val="28"/>
        </w:rPr>
        <w:t>, указываемый в соглашении, рассчитывается исходя из общего объема бюджетных ассигнований, предусмотренных в местном бюджете на исполнение расходного обязательства, и суммы Субсидии, предоставляемой из областного бюджета.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18. Органы местного самоуправления муниципальных районов (городских округов) представляют Комитету ежеквартально, не позднее 8-го числа месяца, следующего за отчетным периодом, отчет об осуществлении расходов, источником финансового обеспечения которых являются Субсидии из областного бюджета, по утвержденной форме. Форма отчета утверждается Комитетом.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Предварительный отчет за год органы местного самоуправления муниципальных районов (городских округов) представляют Комитету до 5 декабря текущего года.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19. Комитет представляет в Министерство финансов Мурманской области ежеквартально, не позднее 20-го числа месяца, следующего за отчетным периодом, сводный отчет об осуществлении расходов, источником финансового обеспечения которых являются Субсидии из областного бюджета, в разрезе муниципальных районов (городских округов) по форме, утверждаемой Комитетом.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20. Приостановление (сокращение) предоставления Субсидий осуществляется в случаях: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нецелевого использования Субсидии;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- невыполнения муниципальным районом (городским округом) обязанности обеспечить уровень </w:t>
      </w:r>
      <w:proofErr w:type="spellStart"/>
      <w:r w:rsidRPr="00D6464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4648">
        <w:rPr>
          <w:rFonts w:ascii="Times New Roman" w:hAnsi="Times New Roman"/>
          <w:sz w:val="28"/>
          <w:szCs w:val="28"/>
        </w:rPr>
        <w:t xml:space="preserve"> за счет средств муниципального бюджета;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- непредставления муниципальным районом (городским округом) отчетности по форме, в порядке и сроки, установленные соглашением о предоставлении Субсидии.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Высвобождающиеся средства областного бюджета, предусмотренные на предоставление Субсидий, могут быть перераспределены между другими муниципальными районами (городскими округами), имеющими право на получение Субсидий, в соответствии с правилами предоставления субсидии.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21.</w:t>
      </w:r>
      <w:r w:rsidRPr="00D64648">
        <w:rPr>
          <w:rFonts w:ascii="Arial" w:hAnsi="Arial" w:cs="Arial"/>
          <w:sz w:val="24"/>
          <w:szCs w:val="24"/>
        </w:rPr>
        <w:t xml:space="preserve"> </w:t>
      </w:r>
      <w:r w:rsidRPr="00D64648">
        <w:rPr>
          <w:rFonts w:ascii="Times New Roman" w:hAnsi="Times New Roman"/>
          <w:sz w:val="28"/>
          <w:szCs w:val="28"/>
        </w:rPr>
        <w:t>В случае если в отчетном финансовом году муниципальным районом (городским округом) не достигнуты значения целевых показателей результативности предоставления Субсидии, установленные соглашениями, объем Субсидии, предусмотренный местному бюджету на текущий финансовый год, подлежит сокращению.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lastRenderedPageBreak/>
        <w:t>Сокращение размера Субсидии, предусмотренной бюджету муниципального района (городского округа) на текущий финансовый год, производится в размере 1% размера Субсидии за каждое недостигнутое значение показателя результативности использования Субсидии.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 xml:space="preserve">При отсутствии объема Субсидии на текущий финансовый год объем средств, подлежащих возврату в областной бюджет, определяется в соответствии с </w:t>
      </w:r>
      <w:hyperlink r:id="rId10" w:history="1">
        <w:r w:rsidRPr="00D64648">
          <w:rPr>
            <w:rStyle w:val="a5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 15</w:t>
        </w:r>
      </w:hyperlink>
      <w:r w:rsidRPr="00D64648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распределения субсидий из областного бюджета местным бюджетам Мурманской области, утвержденных </w:t>
      </w:r>
      <w:hyperlink r:id="rId11" w:history="1">
        <w:r w:rsidRPr="00D64648">
          <w:rPr>
            <w:rStyle w:val="a5"/>
            <w:rFonts w:ascii="Times New Roman" w:eastAsia="Calibri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64648">
        <w:rPr>
          <w:rFonts w:ascii="Times New Roman" w:hAnsi="Times New Roman"/>
          <w:sz w:val="28"/>
          <w:szCs w:val="28"/>
        </w:rPr>
        <w:t xml:space="preserve"> Правительства Мурманской области от 05.09.2011 № 445-ПП.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22. Органы местного самоуправления муниципальных районов (городских округов) несут ответственность за нецелевое использование Субсидии, а также за несвоевременность и неполноценное обеспечение расходов, недостоверность предоставляемых сведений.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322"/>
      <w:r w:rsidRPr="00D64648">
        <w:rPr>
          <w:rFonts w:ascii="Times New Roman" w:hAnsi="Times New Roman"/>
          <w:sz w:val="28"/>
          <w:szCs w:val="28"/>
        </w:rPr>
        <w:t xml:space="preserve">23. В случае нецелевого использования Субсидии, а также невозврата муниципальным районом (городским округом) средств в областной бюджет применяются бюджетные меры принуждения, предусмотренные </w:t>
      </w:r>
      <w:hyperlink r:id="rId12" w:history="1">
        <w:r w:rsidRPr="00D64648">
          <w:rPr>
            <w:rStyle w:val="a5"/>
            <w:rFonts w:ascii="Times New Roman" w:eastAsia="Calibri" w:hAnsi="Times New Roman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D6464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04F10" w:rsidRPr="00D64648" w:rsidRDefault="00004F10" w:rsidP="000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323"/>
      <w:bookmarkEnd w:id="1"/>
      <w:r w:rsidRPr="00D64648">
        <w:rPr>
          <w:rFonts w:ascii="Times New Roman" w:hAnsi="Times New Roman"/>
          <w:sz w:val="28"/>
          <w:szCs w:val="28"/>
        </w:rPr>
        <w:t>24. Муниципальным районам (городским округам) рекомендуется согласовывать с Комитетом документацию при осуществлении закупки с начальной ценой контракта свыше 1 миллиона рублей.</w:t>
      </w:r>
    </w:p>
    <w:bookmarkEnd w:id="2"/>
    <w:p w:rsidR="00004F10" w:rsidRPr="00D64648" w:rsidRDefault="00004F10" w:rsidP="0005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648">
        <w:rPr>
          <w:rFonts w:ascii="Times New Roman" w:hAnsi="Times New Roman"/>
          <w:sz w:val="28"/>
          <w:szCs w:val="28"/>
        </w:rPr>
        <w:t>25. Контроль за соблюдением получателями Субсидий условий, целей и порядка, установленных при их предоставлении, осуществляется Комитетом и органами государственного финансового контроля.».</w:t>
      </w:r>
    </w:p>
    <w:p w:rsidR="00137710" w:rsidRPr="00D64648" w:rsidRDefault="00137710" w:rsidP="0005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710" w:rsidRPr="00D64648" w:rsidRDefault="00137710" w:rsidP="0005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710" w:rsidRPr="00D64648" w:rsidRDefault="00137710" w:rsidP="0005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4F10" w:rsidRPr="00004F10" w:rsidRDefault="00137710" w:rsidP="00004F1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4648">
        <w:rPr>
          <w:rFonts w:ascii="Times New Roman" w:hAnsi="Times New Roman"/>
          <w:sz w:val="28"/>
          <w:szCs w:val="28"/>
          <w:lang w:eastAsia="ru-RU"/>
        </w:rPr>
        <w:t>_____________</w:t>
      </w:r>
    </w:p>
    <w:sectPr w:rsidR="00004F10" w:rsidRPr="00004F10" w:rsidSect="00FD5C4F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D6" w:rsidRDefault="006C48D6">
      <w:pPr>
        <w:spacing w:after="0" w:line="240" w:lineRule="auto"/>
      </w:pPr>
      <w:r>
        <w:separator/>
      </w:r>
    </w:p>
  </w:endnote>
  <w:endnote w:type="continuationSeparator" w:id="0">
    <w:p w:rsidR="006C48D6" w:rsidRDefault="006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D6" w:rsidRDefault="006C48D6">
      <w:pPr>
        <w:spacing w:after="0" w:line="240" w:lineRule="auto"/>
      </w:pPr>
      <w:r>
        <w:separator/>
      </w:r>
    </w:p>
  </w:footnote>
  <w:footnote w:type="continuationSeparator" w:id="0">
    <w:p w:rsidR="006C48D6" w:rsidRDefault="006C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3890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FD5C4F" w:rsidRPr="00FD5C4F" w:rsidRDefault="00FD5C4F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FD5C4F">
          <w:rPr>
            <w:rFonts w:ascii="Times New Roman" w:hAnsi="Times New Roman"/>
            <w:sz w:val="22"/>
            <w:szCs w:val="22"/>
          </w:rPr>
          <w:fldChar w:fldCharType="begin"/>
        </w:r>
        <w:r w:rsidRPr="00FD5C4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D5C4F">
          <w:rPr>
            <w:rFonts w:ascii="Times New Roman" w:hAnsi="Times New Roman"/>
            <w:sz w:val="22"/>
            <w:szCs w:val="22"/>
          </w:rPr>
          <w:fldChar w:fldCharType="separate"/>
        </w:r>
        <w:r w:rsidRPr="00FD5C4F">
          <w:rPr>
            <w:rFonts w:ascii="Times New Roman" w:hAnsi="Times New Roman"/>
            <w:noProof/>
            <w:sz w:val="22"/>
            <w:szCs w:val="22"/>
            <w:lang w:val="ru-RU"/>
          </w:rPr>
          <w:t>7</w:t>
        </w:r>
        <w:r w:rsidRPr="00FD5C4F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FD5C4F" w:rsidRDefault="00FD5C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20" w:rsidRDefault="006C48D6" w:rsidP="00F83ABA">
    <w:pPr>
      <w:pStyle w:val="a3"/>
      <w:spacing w:after="0"/>
      <w:jc w:val="center"/>
    </w:pPr>
  </w:p>
  <w:p w:rsidR="00A95B20" w:rsidRDefault="006C48D6" w:rsidP="0034450E">
    <w:pPr>
      <w:pStyle w:val="a3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A0C98"/>
    <w:multiLevelType w:val="hybridMultilevel"/>
    <w:tmpl w:val="B43E3CA2"/>
    <w:lvl w:ilvl="0" w:tplc="60FE44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77296E"/>
    <w:multiLevelType w:val="multilevel"/>
    <w:tmpl w:val="CFA6D0FE"/>
    <w:lvl w:ilvl="0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0"/>
    <w:rsid w:val="00004F10"/>
    <w:rsid w:val="00051681"/>
    <w:rsid w:val="00135FD1"/>
    <w:rsid w:val="00137710"/>
    <w:rsid w:val="001D2534"/>
    <w:rsid w:val="00296361"/>
    <w:rsid w:val="00412527"/>
    <w:rsid w:val="004F1772"/>
    <w:rsid w:val="00545237"/>
    <w:rsid w:val="00653F34"/>
    <w:rsid w:val="0069477E"/>
    <w:rsid w:val="006C48D6"/>
    <w:rsid w:val="00A971FB"/>
    <w:rsid w:val="00D64648"/>
    <w:rsid w:val="00DB308C"/>
    <w:rsid w:val="00F70F9C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42DD0-92BD-42F7-A625-CCCD89A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4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04F10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4F1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004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F10"/>
    <w:rPr>
      <w:rFonts w:ascii="Arial" w:eastAsia="Calibri" w:hAnsi="Arial" w:cs="Times New Roman"/>
      <w:szCs w:val="20"/>
      <w:lang w:eastAsia="ru-RU"/>
    </w:rPr>
  </w:style>
  <w:style w:type="paragraph" w:customStyle="1" w:styleId="ConsNormal">
    <w:name w:val="ConsNormal"/>
    <w:rsid w:val="00004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04F1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648"/>
    <w:rPr>
      <w:rFonts w:ascii="Segoe UI" w:eastAsia="Times New Roman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C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6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87442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6874422.101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687442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17A2-E251-4754-8B12-CEF94017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Цыганкова И.А.</cp:lastModifiedBy>
  <cp:revision>4</cp:revision>
  <cp:lastPrinted>2018-07-02T07:51:00Z</cp:lastPrinted>
  <dcterms:created xsi:type="dcterms:W3CDTF">2018-07-02T07:35:00Z</dcterms:created>
  <dcterms:modified xsi:type="dcterms:W3CDTF">2018-07-02T07:51:00Z</dcterms:modified>
</cp:coreProperties>
</file>