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08" w:rsidRDefault="00C2192C">
      <w:pPr>
        <w:shd w:val="clear" w:color="auto" w:fill="FFFFFF"/>
        <w:spacing w:after="0" w:line="240" w:lineRule="auto"/>
        <w:ind w:firstLine="567"/>
        <w:jc w:val="right"/>
        <w:rPr>
          <w:rFonts w:ascii="Times New Roman" w:eastAsia="Times New Roman" w:hAnsi="Times New Roman" w:cs="Times New Roman"/>
          <w:color w:val="000000"/>
          <w:szCs w:val="28"/>
        </w:rPr>
      </w:pPr>
      <w:r>
        <w:rPr>
          <w:rFonts w:ascii="Times New Roman" w:eastAsia="Times New Roman" w:hAnsi="Times New Roman" w:cs="Times New Roman"/>
          <w:color w:val="000000" w:themeColor="text1"/>
          <w:sz w:val="28"/>
          <w:szCs w:val="28"/>
          <w:shd w:val="clear" w:color="auto" w:fill="FFFFFF"/>
        </w:rPr>
        <w:t>Приложение № 18</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t xml:space="preserve">к </w:t>
      </w:r>
      <w:hyperlink r:id="rId6" w:anchor="/document/74923384/entry/1000" w:tooltip="https://internet.garant.ru/#/document/74923384/entry/1000" w:history="1">
        <w:r>
          <w:rPr>
            <w:rStyle w:val="af7"/>
            <w:rFonts w:ascii="Times New Roman" w:eastAsia="Times New Roman" w:hAnsi="Times New Roman" w:cs="Times New Roman"/>
            <w:color w:val="000000" w:themeColor="text1"/>
            <w:sz w:val="28"/>
            <w:szCs w:val="28"/>
            <w:u w:val="none"/>
          </w:rPr>
          <w:t>Государственной программе</w:t>
        </w:r>
      </w:hyperlink>
    </w:p>
    <w:p w:rsidR="00DE5208" w:rsidRDefault="00DE5208">
      <w:pPr>
        <w:shd w:val="clear" w:color="auto" w:fill="FFFFFF"/>
        <w:spacing w:after="0" w:line="240" w:lineRule="auto"/>
        <w:ind w:firstLine="567"/>
        <w:jc w:val="right"/>
        <w:rPr>
          <w:rFonts w:ascii="Times New Roman" w:eastAsia="Times New Roman" w:hAnsi="Times New Roman" w:cs="Times New Roman"/>
          <w:b/>
          <w:color w:val="000000"/>
          <w:sz w:val="28"/>
          <w:szCs w:val="28"/>
        </w:rPr>
      </w:pPr>
    </w:p>
    <w:p w:rsidR="00DE5208" w:rsidRDefault="00DE5208">
      <w:pPr>
        <w:shd w:val="clear" w:color="auto" w:fill="FFFFFF"/>
        <w:spacing w:after="0" w:line="240" w:lineRule="auto"/>
        <w:ind w:firstLine="567"/>
        <w:jc w:val="right"/>
        <w:rPr>
          <w:rFonts w:ascii="Times New Roman" w:eastAsia="Times New Roman" w:hAnsi="Times New Roman" w:cs="Times New Roman"/>
          <w:b/>
          <w:color w:val="000000"/>
          <w:sz w:val="28"/>
          <w:szCs w:val="28"/>
        </w:rPr>
      </w:pPr>
    </w:p>
    <w:p w:rsidR="00DE5208" w:rsidRDefault="00C2192C">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lang w:eastAsia="ru-RU"/>
        </w:rPr>
        <w:t>Правила</w:t>
      </w:r>
      <w:r>
        <w:rPr>
          <w:rFonts w:ascii="Times New Roman" w:eastAsia="Times New Roman" w:hAnsi="Times New Roman" w:cs="Times New Roman"/>
          <w:b/>
          <w:color w:val="000000" w:themeColor="text1"/>
          <w:sz w:val="28"/>
          <w:szCs w:val="28"/>
          <w:lang w:eastAsia="ru-RU"/>
        </w:rPr>
        <w:br/>
        <w:t>предоставления и распределения субсидий из областного бюджета бюджетам муниципальных образований Мурманской области на финансовое обеспечение мероприятий по открытию спортивных пространств для молодежи</w:t>
      </w:r>
    </w:p>
    <w:p w:rsidR="00DE5208" w:rsidRDefault="00C2192C">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w:t>
      </w:r>
    </w:p>
    <w:p w:rsidR="00DE5208" w:rsidRDefault="00DE5208">
      <w:pPr>
        <w:shd w:val="clear" w:color="auto" w:fill="FFFFFF"/>
        <w:spacing w:after="0" w:line="240" w:lineRule="auto"/>
        <w:ind w:firstLine="567"/>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1. Настоящие Правила устанавливают порядок, цели и условия предоставления и распределения субсидий из областного бюджета бюджетам муниципальных образований Мурманской области на открытие спортивных пространств для молодежи (далее - Субсидия).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2. Субсидии предоставляются бюджетам муниципальных образований Мурманской области в целях </w:t>
      </w:r>
      <w:proofErr w:type="spellStart"/>
      <w:r>
        <w:rPr>
          <w:rFonts w:ascii="Times New Roman" w:eastAsia="Times New Roman" w:hAnsi="Times New Roman" w:cs="Times New Roman"/>
          <w:color w:val="000000" w:themeColor="text1"/>
          <w:sz w:val="28"/>
          <w:szCs w:val="28"/>
          <w:lang w:eastAsia="ru-RU"/>
        </w:rPr>
        <w:t>софинансирования</w:t>
      </w:r>
      <w:proofErr w:type="spellEnd"/>
      <w:r>
        <w:rPr>
          <w:rFonts w:ascii="Times New Roman" w:eastAsia="Times New Roman" w:hAnsi="Times New Roman" w:cs="Times New Roman"/>
          <w:color w:val="000000" w:themeColor="text1"/>
          <w:sz w:val="28"/>
          <w:szCs w:val="28"/>
          <w:lang w:eastAsia="ru-RU"/>
        </w:rPr>
        <w:t xml:space="preserve">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на мероприятия по открытию спортивных пространств для молодежи в целях поддержки и развития массового спорта в Мурманской области (далее - открытие спортивных пространств).</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3. Целью предоставления Субсидии является открытие спортивных пространств на базе помещения, находящегося в муниципальной собственности, в соответствии с концепцией создания спортивных пространств для молодежи в целях поддержки и развития массового спорта, разработанной для каждого муниципального образования - победителя конкурсного отбора на предоставление Субсидии (далее - Концепция) и утвержденной Министерством спорта Мурманской области (далее - Министерство).</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Мероприятия по открытию спортивных пространств включают в себя проведение текущих ремонтных работ помещений (включая дизайнерское оформление и </w:t>
      </w:r>
      <w:proofErr w:type="spellStart"/>
      <w:r>
        <w:rPr>
          <w:rFonts w:ascii="Times New Roman" w:eastAsia="Times New Roman" w:hAnsi="Times New Roman" w:cs="Times New Roman"/>
          <w:color w:val="000000" w:themeColor="text1"/>
          <w:sz w:val="28"/>
          <w:szCs w:val="28"/>
          <w:lang w:eastAsia="ru-RU"/>
        </w:rPr>
        <w:t>брендирование</w:t>
      </w:r>
      <w:proofErr w:type="spellEnd"/>
      <w:r>
        <w:rPr>
          <w:rFonts w:ascii="Times New Roman" w:eastAsia="Times New Roman" w:hAnsi="Times New Roman" w:cs="Times New Roman"/>
          <w:color w:val="000000" w:themeColor="text1"/>
          <w:sz w:val="28"/>
          <w:szCs w:val="28"/>
          <w:lang w:eastAsia="ru-RU"/>
        </w:rPr>
        <w:t>), находящихся в собственности муниципальных образований Мурманской области, предназначенных для открытия спортивных пространств, а также оснащение их спортивным оборудованием и инвентарем в соответствии с Концепцией.</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4. За счет средств Субсидий предусматриваются расходы по следующим направлениям:</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 проведение текущих ремонтных работ (включая дизайнерское оформление и </w:t>
      </w:r>
      <w:proofErr w:type="spellStart"/>
      <w:r>
        <w:rPr>
          <w:rFonts w:ascii="Times New Roman" w:eastAsia="Times New Roman" w:hAnsi="Times New Roman" w:cs="Times New Roman"/>
          <w:color w:val="000000" w:themeColor="text1"/>
          <w:sz w:val="28"/>
          <w:szCs w:val="28"/>
          <w:lang w:eastAsia="ru-RU"/>
        </w:rPr>
        <w:t>брендирование</w:t>
      </w:r>
      <w:proofErr w:type="spellEnd"/>
      <w:r>
        <w:rPr>
          <w:rFonts w:ascii="Times New Roman" w:eastAsia="Times New Roman" w:hAnsi="Times New Roman" w:cs="Times New Roman"/>
          <w:color w:val="000000" w:themeColor="text1"/>
          <w:sz w:val="28"/>
          <w:szCs w:val="28"/>
          <w:lang w:eastAsia="ru-RU"/>
        </w:rPr>
        <w:t xml:space="preserve"> в соответствии с Концепцией), в том числе на закупки необходимых для их проведения материалов;</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приобретение спортивного оборудования и инвентаря, предполагаемых для использования в данных помещениях, в соответствии с утвержденным Министерством перечнем (далее - перечень).</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lastRenderedPageBreak/>
        <w:t>За счет средств Субсидий запрещается осуществлять иные виды расходов.</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5. Субсидии предоставляются Министерством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6. Министерство берет на себя обязательства на осуществление конкурсного отбора и определение победителя для предоставления Субсидии из областного бюджета на проведение мероприятий по открытию спортивных пространств в Мурманской области.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Критериями отбора являются: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 наличие документально подтвержденного права муниципальной собственности на помещение, предназначенное под спортивное пространство, общей площадью от 50 квадратных метров в состоянии, не требующем капитального ремонта и реконструкции, готовое под дизайнерское оформление и </w:t>
      </w:r>
      <w:proofErr w:type="spellStart"/>
      <w:r>
        <w:rPr>
          <w:rFonts w:ascii="Times New Roman" w:eastAsia="Times New Roman" w:hAnsi="Times New Roman" w:cs="Times New Roman"/>
          <w:color w:val="000000" w:themeColor="text1"/>
          <w:sz w:val="28"/>
          <w:szCs w:val="28"/>
          <w:lang w:eastAsia="ru-RU"/>
        </w:rPr>
        <w:t>брендирование</w:t>
      </w:r>
      <w:proofErr w:type="spellEnd"/>
      <w:r>
        <w:rPr>
          <w:rFonts w:ascii="Times New Roman" w:eastAsia="Times New Roman" w:hAnsi="Times New Roman" w:cs="Times New Roman"/>
          <w:color w:val="000000" w:themeColor="text1"/>
          <w:sz w:val="28"/>
          <w:szCs w:val="28"/>
          <w:lang w:eastAsia="ru-RU"/>
        </w:rPr>
        <w:t>, находящееся в ведомственной принадлежности сферы спорта, молодежной политики или культуры;</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подтверждение обязательства муниципального образования нести расходы по содержанию помещения, предназначенного под спортивное пространство, а также по обслуживанию материально-технического оснащения спортивного пространства;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наличие муниципальной программы, предусматривающей финансирование мероприятий по открытию спортивных пространств;</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рост в году, предшествующему году предоставления субсидии, по сравнению с предыдущими двумя годами числа молодежи 14-35 лет, занимающейся физической культурой и спортом, в соответствии с государственной статистической отчетностью (</w:t>
      </w:r>
      <w:hyperlink r:id="rId7" w:anchor="/document/72207142/entry/1000" w:tooltip="https://internet.garant.ru/#/document/72207142/entry/1000" w:history="1">
        <w:r>
          <w:rPr>
            <w:rFonts w:ascii="Times New Roman" w:eastAsia="Times New Roman" w:hAnsi="Times New Roman" w:cs="Times New Roman"/>
            <w:color w:val="000000" w:themeColor="text1"/>
            <w:sz w:val="28"/>
            <w:szCs w:val="28"/>
            <w:lang w:eastAsia="ru-RU"/>
          </w:rPr>
          <w:t>форма 1-ФК</w:t>
        </w:r>
      </w:hyperlink>
      <w:r>
        <w:rPr>
          <w:rFonts w:ascii="Times New Roman" w:eastAsia="Times New Roman" w:hAnsi="Times New Roman" w:cs="Times New Roman"/>
          <w:color w:val="000000" w:themeColor="text1"/>
          <w:sz w:val="28"/>
          <w:szCs w:val="28"/>
          <w:lang w:eastAsia="ru-RU"/>
        </w:rPr>
        <w:t>);</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наличие проекта плана мероприятий по использованию спортивного пространства.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7. Условиями предоставления Субсидии из областного бюджета бюджетам муниципальных образований Мурманской области являются:</w:t>
      </w:r>
    </w:p>
    <w:p w:rsidR="00DE5208" w:rsidRPr="007A7B2C"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7A7B2C">
        <w:rPr>
          <w:rFonts w:ascii="Times New Roman" w:eastAsia="Times New Roman" w:hAnsi="Times New Roman" w:cs="Times New Roman"/>
          <w:color w:val="FF0000"/>
          <w:sz w:val="28"/>
          <w:szCs w:val="28"/>
          <w:lang w:eastAsia="ru-RU"/>
        </w:rPr>
        <w:t xml:space="preserve">- наличие правового акта муниципального образования, утверждающего перечень мероприятий, в целях </w:t>
      </w:r>
      <w:proofErr w:type="spellStart"/>
      <w:r w:rsidRPr="007A7B2C">
        <w:rPr>
          <w:rFonts w:ascii="Times New Roman" w:eastAsia="Times New Roman" w:hAnsi="Times New Roman" w:cs="Times New Roman"/>
          <w:color w:val="FF0000"/>
          <w:sz w:val="28"/>
          <w:szCs w:val="28"/>
          <w:lang w:eastAsia="ru-RU"/>
        </w:rPr>
        <w:t>софинансирования</w:t>
      </w:r>
      <w:proofErr w:type="spellEnd"/>
      <w:r w:rsidRPr="007A7B2C">
        <w:rPr>
          <w:rFonts w:ascii="Times New Roman" w:eastAsia="Times New Roman" w:hAnsi="Times New Roman" w:cs="Times New Roman"/>
          <w:color w:val="FF0000"/>
          <w:sz w:val="28"/>
          <w:szCs w:val="28"/>
          <w:lang w:eastAsia="ru-RU"/>
        </w:rPr>
        <w:t xml:space="preserve"> которых предоставляется Субсидия;</w:t>
      </w:r>
    </w:p>
    <w:p w:rsidR="00DE5208" w:rsidRPr="007A7B2C"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7A7B2C">
        <w:rPr>
          <w:rFonts w:ascii="Times New Roman" w:eastAsia="Times New Roman" w:hAnsi="Times New Roman" w:cs="Times New Roman"/>
          <w:color w:val="FF0000"/>
          <w:sz w:val="28"/>
          <w:szCs w:val="28"/>
          <w:lang w:eastAsia="ru-RU"/>
        </w:rPr>
        <w:t>- согласие муниципального образования на расходование Субсидии в строгом соответствии с Концепцией, утвержденной приказом Министерства;</w:t>
      </w:r>
    </w:p>
    <w:p w:rsidR="00DE5208" w:rsidRPr="007A7B2C"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7A7B2C">
        <w:rPr>
          <w:rFonts w:ascii="Times New Roman" w:eastAsia="Times New Roman" w:hAnsi="Times New Roman" w:cs="Times New Roman"/>
          <w:color w:val="FF0000"/>
          <w:sz w:val="28"/>
          <w:szCs w:val="28"/>
          <w:lang w:eastAsia="ru-RU"/>
        </w:rPr>
        <w:t xml:space="preserve">- заключение между Министерством и органом местного самоуправления муниципального образования соглашения, предусматривающего обязательства муниципального образования по исполнению расходных обязательств, в целях </w:t>
      </w:r>
      <w:proofErr w:type="spellStart"/>
      <w:r w:rsidRPr="007A7B2C">
        <w:rPr>
          <w:rFonts w:ascii="Times New Roman" w:eastAsia="Times New Roman" w:hAnsi="Times New Roman" w:cs="Times New Roman"/>
          <w:color w:val="FF0000"/>
          <w:sz w:val="28"/>
          <w:szCs w:val="28"/>
          <w:lang w:eastAsia="ru-RU"/>
        </w:rPr>
        <w:t>софинансирования</w:t>
      </w:r>
      <w:proofErr w:type="spellEnd"/>
      <w:r w:rsidRPr="007A7B2C">
        <w:rPr>
          <w:rFonts w:ascii="Times New Roman" w:eastAsia="Times New Roman" w:hAnsi="Times New Roman" w:cs="Times New Roman"/>
          <w:color w:val="FF0000"/>
          <w:sz w:val="28"/>
          <w:szCs w:val="28"/>
          <w:lang w:eastAsia="ru-RU"/>
        </w:rPr>
        <w:t xml:space="preserve"> которых предоставляется Субсидия, и ответственность за невыполнение предусмотренных указанным соглашением обязательств (далее - Соглашение).</w:t>
      </w:r>
    </w:p>
    <w:p w:rsidR="00DE5208" w:rsidRPr="007A7B2C"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7A7B2C">
        <w:rPr>
          <w:rFonts w:ascii="Times New Roman" w:eastAsia="Times New Roman" w:hAnsi="Times New Roman" w:cs="Times New Roman"/>
          <w:color w:val="FF0000"/>
          <w:sz w:val="28"/>
          <w:szCs w:val="28"/>
          <w:lang w:eastAsia="ru-RU"/>
        </w:rPr>
        <w:t xml:space="preserve">Если за счет средств субсидий осуществляются закупки товаров, работ, услуг конкурентными способами определения поставщиков (подрядчиков, </w:t>
      </w:r>
      <w:r w:rsidRPr="007A7B2C">
        <w:rPr>
          <w:rFonts w:ascii="Times New Roman" w:eastAsia="Times New Roman" w:hAnsi="Times New Roman" w:cs="Times New Roman"/>
          <w:color w:val="FF0000"/>
          <w:sz w:val="28"/>
          <w:szCs w:val="28"/>
          <w:lang w:eastAsia="ru-RU"/>
        </w:rPr>
        <w:lastRenderedPageBreak/>
        <w:t xml:space="preserve">исполнителей) в электронной форме (за исключением закрытых способов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hyperlink r:id="rId8" w:anchor="/document/70353464/entry/267" w:tooltip="https://internet.garant.ru/#/document/70353464/entry/267" w:history="1">
        <w:r w:rsidRPr="007A7B2C">
          <w:rPr>
            <w:rFonts w:ascii="Times New Roman" w:eastAsia="Times New Roman" w:hAnsi="Times New Roman" w:cs="Times New Roman"/>
            <w:color w:val="FF0000"/>
            <w:sz w:val="28"/>
            <w:szCs w:val="28"/>
            <w:lang w:eastAsia="ru-RU"/>
          </w:rPr>
          <w:t>частью 7 статьи 26</w:t>
        </w:r>
      </w:hyperlink>
      <w:r w:rsidRPr="007A7B2C">
        <w:rPr>
          <w:rFonts w:ascii="Times New Roman" w:eastAsia="Times New Roman" w:hAnsi="Times New Roman" w:cs="Times New Roman"/>
          <w:color w:val="FF0000"/>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DE5208" w:rsidRPr="007A7B2C"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7A7B2C">
        <w:rPr>
          <w:rFonts w:ascii="Times New Roman" w:eastAsia="Times New Roman" w:hAnsi="Times New Roman" w:cs="Times New Roman"/>
          <w:color w:val="FF0000"/>
          <w:sz w:val="28"/>
          <w:szCs w:val="28"/>
          <w:lang w:eastAsia="ru-RU"/>
        </w:rPr>
        <w:t xml:space="preserve">Закупки товаров, работ, услуг за счет средств субсидий в соответствии с </w:t>
      </w:r>
      <w:hyperlink r:id="rId9" w:anchor="/document/12188083/entry/0" w:tooltip="https://internet.garant.ru/#/document/12188083/entry/0" w:history="1">
        <w:r w:rsidRPr="007A7B2C">
          <w:rPr>
            <w:rFonts w:ascii="Times New Roman" w:eastAsia="Times New Roman" w:hAnsi="Times New Roman" w:cs="Times New Roman"/>
            <w:color w:val="FF0000"/>
            <w:sz w:val="28"/>
            <w:szCs w:val="28"/>
            <w:lang w:eastAsia="ru-RU"/>
          </w:rPr>
          <w:t>Федеральным законом</w:t>
        </w:r>
      </w:hyperlink>
      <w:r w:rsidRPr="007A7B2C">
        <w:rPr>
          <w:rFonts w:ascii="Times New Roman" w:eastAsia="Times New Roman" w:hAnsi="Times New Roman" w:cs="Times New Roman"/>
          <w:color w:val="FF0000"/>
          <w:sz w:val="28"/>
          <w:szCs w:val="28"/>
          <w:lang w:eastAsia="ru-RU"/>
        </w:rPr>
        <w:t xml:space="preserve"> от 18.07.2011 № 223-ФЗ «О закупках товаров, работ, услуг отдельными видами юридических лиц» (далее - Закон №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w:t>
      </w:r>
      <w:bookmarkStart w:id="0" w:name="_GoBack"/>
      <w:bookmarkEnd w:id="0"/>
      <w:r w:rsidRPr="007A7B2C">
        <w:rPr>
          <w:rFonts w:ascii="Times New Roman" w:eastAsia="Times New Roman" w:hAnsi="Times New Roman" w:cs="Times New Roman"/>
          <w:color w:val="FF0000"/>
          <w:sz w:val="28"/>
          <w:szCs w:val="28"/>
          <w:lang w:eastAsia="ru-RU"/>
        </w:rPr>
        <w:t xml:space="preserve">ганизации и проведению на безвозмездной основе закупок, осуществляемых конкурентными способами в соответствии с </w:t>
      </w:r>
      <w:hyperlink r:id="rId10" w:anchor="/document/12188083/entry/0" w:tooltip="https://internet.garant.ru/#/document/12188083/entry/0" w:history="1">
        <w:r w:rsidRPr="007A7B2C">
          <w:rPr>
            <w:rFonts w:ascii="Times New Roman" w:eastAsia="Times New Roman" w:hAnsi="Times New Roman" w:cs="Times New Roman"/>
            <w:color w:val="FF0000"/>
            <w:sz w:val="28"/>
            <w:szCs w:val="28"/>
            <w:lang w:eastAsia="ru-RU"/>
          </w:rPr>
          <w:t>Законом</w:t>
        </w:r>
      </w:hyperlink>
      <w:r w:rsidRPr="007A7B2C">
        <w:rPr>
          <w:rFonts w:ascii="Times New Roman" w:eastAsia="Times New Roman" w:hAnsi="Times New Roman" w:cs="Times New Roman"/>
          <w:color w:val="FF0000"/>
          <w:sz w:val="28"/>
          <w:szCs w:val="28"/>
          <w:lang w:eastAsia="ru-RU"/>
        </w:rPr>
        <w:t xml:space="preserve"> №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rsidR="00DE5208" w:rsidRDefault="00C2192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8. </w:t>
      </w:r>
      <w:r>
        <w:rPr>
          <w:rFonts w:ascii="Times New Roman" w:eastAsia="Times New Roman" w:hAnsi="Times New Roman" w:cs="Times New Roman"/>
          <w:color w:val="000000" w:themeColor="text1"/>
          <w:sz w:val="28"/>
        </w:rPr>
        <w:t xml:space="preserve">Показателем результативности использования Субсидии муниципальными образованиями является количество </w:t>
      </w:r>
      <w:r>
        <w:rPr>
          <w:rFonts w:ascii="Times New Roman" w:eastAsia="Times New Roman" w:hAnsi="Times New Roman" w:cs="Times New Roman"/>
          <w:color w:val="000000" w:themeColor="text1"/>
          <w:sz w:val="28"/>
          <w:szCs w:val="28"/>
          <w:lang w:eastAsia="ru-RU"/>
        </w:rPr>
        <w:t xml:space="preserve">созданных </w:t>
      </w:r>
      <w:r>
        <w:rPr>
          <w:rFonts w:ascii="Times New Roman" w:eastAsia="Times New Roman" w:hAnsi="Times New Roman" w:cs="Times New Roman"/>
          <w:color w:val="000000" w:themeColor="text1"/>
          <w:sz w:val="28"/>
          <w:highlight w:val="white"/>
        </w:rPr>
        <w:t>спортивных пространств для молодежи в целях поддержки и развития массового спорта в Мурманской области</w:t>
      </w:r>
      <w:r>
        <w:rPr>
          <w:rFonts w:ascii="Times New Roman" w:eastAsia="Times New Roman" w:hAnsi="Times New Roman" w:cs="Times New Roman"/>
          <w:color w:val="000000" w:themeColor="text1"/>
          <w:sz w:val="28"/>
        </w:rPr>
        <w:t>.</w:t>
      </w:r>
    </w:p>
    <w:p w:rsidR="00DE5208" w:rsidRDefault="00C2192C">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rPr>
        <w:t>Значение показателя результативности использования Субсидии определяется соглашением.</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9. Оценка результативности предоставления Субсидии осуществляется Министерством исходя из степени достижения значения показателя результативности использования Субсидии на основании отчетных данных, представленных муниципальным образованием по итогам отчетного года, в соответствии с </w:t>
      </w:r>
      <w:hyperlink r:id="rId11" w:anchor="/document/74923384/entry/11101" w:tooltip="https://internet.garant.ru/#/document/74923384/entry/11101" w:history="1">
        <w:r>
          <w:rPr>
            <w:rFonts w:ascii="Times New Roman" w:eastAsia="Times New Roman" w:hAnsi="Times New Roman" w:cs="Times New Roman"/>
            <w:color w:val="000000" w:themeColor="text1"/>
            <w:sz w:val="28"/>
            <w:szCs w:val="28"/>
            <w:lang w:eastAsia="ru-RU"/>
          </w:rPr>
          <w:t>пунктом 2</w:t>
        </w:r>
      </w:hyperlink>
      <w:r w:rsidRPr="00E82C65">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lang w:eastAsia="ru-RU"/>
        </w:rPr>
        <w:t xml:space="preserve"> настоящих Правил.</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10. Информация об условиях и сроках проведения отбора муниципальных образований для предоставления Субсидии публикуется на </w:t>
      </w:r>
      <w:hyperlink r:id="rId12" w:tooltip="http://sport.gov-murman.ru/" w:history="1">
        <w:r>
          <w:rPr>
            <w:rFonts w:ascii="Times New Roman" w:eastAsia="Times New Roman" w:hAnsi="Times New Roman" w:cs="Times New Roman"/>
            <w:color w:val="000000" w:themeColor="text1"/>
            <w:sz w:val="28"/>
            <w:szCs w:val="28"/>
            <w:lang w:eastAsia="ru-RU"/>
          </w:rPr>
          <w:t>сайте</w:t>
        </w:r>
      </w:hyperlink>
      <w:r>
        <w:rPr>
          <w:rFonts w:ascii="Times New Roman" w:eastAsia="Times New Roman" w:hAnsi="Times New Roman" w:cs="Times New Roman"/>
          <w:color w:val="000000" w:themeColor="text1"/>
          <w:sz w:val="28"/>
          <w:szCs w:val="28"/>
          <w:lang w:eastAsia="ru-RU"/>
        </w:rPr>
        <w:t xml:space="preserve"> Министерства в информационно-телекоммуникационной сети Интернет.</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lang w:eastAsia="ru-RU"/>
        </w:rPr>
        <w:t xml:space="preserve">11. Администрация муниципального образования (далее - администрация) представляет в Министерство заявку о потребности в средствах из областного бюджета на </w:t>
      </w:r>
      <w:proofErr w:type="spellStart"/>
      <w:r>
        <w:rPr>
          <w:rFonts w:ascii="Times New Roman" w:eastAsia="Times New Roman" w:hAnsi="Times New Roman" w:cs="Times New Roman"/>
          <w:color w:val="000000" w:themeColor="text1"/>
          <w:sz w:val="28"/>
          <w:szCs w:val="28"/>
          <w:lang w:eastAsia="ru-RU"/>
        </w:rPr>
        <w:t>софинансирование</w:t>
      </w:r>
      <w:proofErr w:type="spellEnd"/>
      <w:r>
        <w:rPr>
          <w:rFonts w:ascii="Times New Roman" w:eastAsia="Times New Roman" w:hAnsi="Times New Roman" w:cs="Times New Roman"/>
          <w:color w:val="000000" w:themeColor="text1"/>
          <w:sz w:val="28"/>
          <w:szCs w:val="28"/>
          <w:lang w:eastAsia="ru-RU"/>
        </w:rPr>
        <w:t xml:space="preserve"> мероприятий по открытию спортивных пространств </w:t>
      </w:r>
      <w:r w:rsidRPr="00E82C65">
        <w:rPr>
          <w:rFonts w:ascii="Times New Roman" w:eastAsia="Times New Roman" w:hAnsi="Times New Roman" w:cs="Times New Roman"/>
          <w:color w:val="FF0000"/>
          <w:sz w:val="28"/>
          <w:szCs w:val="28"/>
          <w:lang w:eastAsia="ru-RU"/>
        </w:rPr>
        <w:t xml:space="preserve">(далее - Заявка) по форме согласно </w:t>
      </w:r>
      <w:hyperlink r:id="rId13" w:anchor="/document/74923384/entry/11115" w:tooltip="https://internet.garant.ru/#/document/74923384/entry/11115" w:history="1">
        <w:r w:rsidRPr="00E82C65">
          <w:rPr>
            <w:rFonts w:ascii="Times New Roman" w:eastAsia="Times New Roman" w:hAnsi="Times New Roman" w:cs="Times New Roman"/>
            <w:color w:val="FF0000"/>
            <w:sz w:val="28"/>
            <w:szCs w:val="28"/>
            <w:lang w:eastAsia="ru-RU"/>
          </w:rPr>
          <w:t>приложению № 1</w:t>
        </w:r>
      </w:hyperlink>
      <w:r w:rsidRPr="00E82C65">
        <w:rPr>
          <w:rFonts w:ascii="Times New Roman" w:eastAsia="Times New Roman" w:hAnsi="Times New Roman" w:cs="Times New Roman"/>
          <w:color w:val="FF0000"/>
          <w:sz w:val="28"/>
          <w:szCs w:val="28"/>
          <w:lang w:eastAsia="ru-RU"/>
        </w:rPr>
        <w:t xml:space="preserve"> к настоящим Правилам.</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lastRenderedPageBreak/>
        <w:t>К Заявке должны быть приложены следующие документы:</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xml:space="preserve">- копия правового акта муниципального образования, утверждающего перечень мероприятий муниципальной программы, в целях </w:t>
      </w:r>
      <w:proofErr w:type="spellStart"/>
      <w:r w:rsidRPr="00E82C65">
        <w:rPr>
          <w:rFonts w:ascii="Times New Roman" w:eastAsia="Times New Roman" w:hAnsi="Times New Roman" w:cs="Times New Roman"/>
          <w:color w:val="FF0000"/>
          <w:sz w:val="28"/>
          <w:szCs w:val="28"/>
          <w:lang w:eastAsia="ru-RU"/>
        </w:rPr>
        <w:t>софинансирования</w:t>
      </w:r>
      <w:proofErr w:type="spellEnd"/>
      <w:r w:rsidRPr="00E82C65">
        <w:rPr>
          <w:rFonts w:ascii="Times New Roman" w:eastAsia="Times New Roman" w:hAnsi="Times New Roman" w:cs="Times New Roman"/>
          <w:color w:val="FF0000"/>
          <w:sz w:val="28"/>
          <w:szCs w:val="28"/>
          <w:lang w:eastAsia="ru-RU"/>
        </w:rPr>
        <w:t xml:space="preserve"> которых предоставляется Субсидия;</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копия документа, подтверждающего право муниципальной собственности на помещение, предназначенное под спортивное пространство, находящееся в ведомственной принадлежности сферы спорта, молодежной политики или культуры;</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письмо за подписью главы администрации муниципального образования, содержащее информацию об отсутствии необходимости проведения капитального ремонта или реконструкции помещения, предназначенного под спортивное пространство, об обязательстве муниципального образования нести расходы по содержанию указанного помещения и дальнейшему обслуживанию материально-технического оснащения спортивного пространства, а также согласие муниципального образования на расходование Субсидии в строгом соответствии с Концепцией, утвержденной приказом Министерства;</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фотографии помещения, отражающие состояние стен, потолка, пола, окон, дверей, входа помещения;</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копия экспликации помещения (кв. м), предназначенного под спортивное пространство;</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проект плана мероприятий по использованию спортивного пространства.</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lang w:eastAsia="ru-RU"/>
        </w:rPr>
        <w:t xml:space="preserve">12. В случае если администрацией предоставлены документы, не соответствующие требованиям, предусмотренным </w:t>
      </w:r>
      <w:hyperlink r:id="rId14" w:anchor="/document/74923384/entry/11092" w:tooltip="https://internet.garant.ru/#/document/74923384/entry/11092" w:history="1">
        <w:r>
          <w:rPr>
            <w:rFonts w:ascii="Times New Roman" w:eastAsia="Times New Roman" w:hAnsi="Times New Roman" w:cs="Times New Roman"/>
            <w:color w:val="000000" w:themeColor="text1"/>
            <w:sz w:val="28"/>
            <w:szCs w:val="28"/>
            <w:lang w:eastAsia="ru-RU"/>
          </w:rPr>
          <w:t>пунктом 11</w:t>
        </w:r>
      </w:hyperlink>
      <w:r>
        <w:rPr>
          <w:rFonts w:ascii="Times New Roman" w:eastAsia="Times New Roman" w:hAnsi="Times New Roman" w:cs="Times New Roman"/>
          <w:color w:val="000000" w:themeColor="text1"/>
          <w:sz w:val="28"/>
          <w:szCs w:val="28"/>
          <w:lang w:eastAsia="ru-RU"/>
        </w:rPr>
        <w:t xml:space="preserve"> настоящих Правил, Министерство </w:t>
      </w:r>
      <w:r w:rsidRPr="00E82C65">
        <w:rPr>
          <w:rFonts w:ascii="Times New Roman" w:eastAsia="Times New Roman" w:hAnsi="Times New Roman" w:cs="Times New Roman"/>
          <w:color w:val="FF0000"/>
          <w:sz w:val="28"/>
          <w:szCs w:val="28"/>
          <w:lang w:eastAsia="ru-RU"/>
        </w:rPr>
        <w:t>в течение 3 рабочих дней со дня их получения возвращает администрации документы с указанием причин возврата.</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7030A0"/>
          <w:sz w:val="28"/>
          <w:szCs w:val="28"/>
        </w:rPr>
      </w:pPr>
      <w:r w:rsidRPr="00E82C65">
        <w:rPr>
          <w:rFonts w:ascii="Times New Roman" w:eastAsia="Times New Roman" w:hAnsi="Times New Roman" w:cs="Times New Roman"/>
          <w:color w:val="7030A0"/>
          <w:sz w:val="28"/>
          <w:szCs w:val="28"/>
          <w:lang w:eastAsia="ru-RU"/>
        </w:rPr>
        <w:t>13. Основаниями для отказа в предоставлении Субсидии являются: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 несоответствие критериям отбора, перечисленным в </w:t>
      </w:r>
      <w:hyperlink r:id="rId15" w:anchor="/document/74923384/entry/11087" w:tooltip="https://internet.garant.ru/#/document/74923384/entry/11087" w:history="1">
        <w:r>
          <w:rPr>
            <w:rFonts w:ascii="Times New Roman" w:eastAsia="Times New Roman" w:hAnsi="Times New Roman" w:cs="Times New Roman"/>
            <w:color w:val="000000" w:themeColor="text1"/>
            <w:sz w:val="28"/>
            <w:szCs w:val="28"/>
            <w:lang w:eastAsia="ru-RU"/>
          </w:rPr>
          <w:t>пункте 6</w:t>
        </w:r>
      </w:hyperlink>
      <w:r>
        <w:rPr>
          <w:rFonts w:ascii="Times New Roman" w:eastAsia="Times New Roman" w:hAnsi="Times New Roman" w:cs="Times New Roman"/>
          <w:color w:val="000000" w:themeColor="text1"/>
          <w:sz w:val="28"/>
          <w:szCs w:val="28"/>
          <w:lang w:eastAsia="ru-RU"/>
        </w:rPr>
        <w:t xml:space="preserve"> настоящих Правил;</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 невыполнение условий предоставления Субсидии, указанных в </w:t>
      </w:r>
      <w:hyperlink r:id="rId16" w:anchor="/document/74923384/entry/11088" w:tooltip="https://internet.garant.ru/#/document/74923384/entry/11088" w:history="1">
        <w:r>
          <w:rPr>
            <w:rFonts w:ascii="Times New Roman" w:eastAsia="Times New Roman" w:hAnsi="Times New Roman" w:cs="Times New Roman"/>
            <w:color w:val="000000" w:themeColor="text1"/>
            <w:sz w:val="28"/>
            <w:szCs w:val="28"/>
            <w:lang w:eastAsia="ru-RU"/>
          </w:rPr>
          <w:t>пункте 7</w:t>
        </w:r>
      </w:hyperlink>
      <w:r>
        <w:rPr>
          <w:rFonts w:ascii="Times New Roman" w:eastAsia="Times New Roman" w:hAnsi="Times New Roman" w:cs="Times New Roman"/>
          <w:color w:val="000000" w:themeColor="text1"/>
          <w:sz w:val="28"/>
          <w:szCs w:val="28"/>
          <w:lang w:eastAsia="ru-RU"/>
        </w:rPr>
        <w:t xml:space="preserve"> настоящих Правил;</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 несоответствие представленных участником отбора документов требованиям, определенным в соответствии с </w:t>
      </w:r>
      <w:hyperlink r:id="rId17" w:anchor="/document/74923384/entry/11092" w:tooltip="https://internet.garant.ru/#/document/74923384/entry/11092" w:history="1">
        <w:r>
          <w:rPr>
            <w:rFonts w:ascii="Times New Roman" w:eastAsia="Times New Roman" w:hAnsi="Times New Roman" w:cs="Times New Roman"/>
            <w:color w:val="000000" w:themeColor="text1"/>
            <w:sz w:val="28"/>
            <w:szCs w:val="28"/>
            <w:lang w:eastAsia="ru-RU"/>
          </w:rPr>
          <w:t>пунктом 11</w:t>
        </w:r>
      </w:hyperlink>
      <w:r>
        <w:rPr>
          <w:rFonts w:ascii="Times New Roman" w:eastAsia="Times New Roman" w:hAnsi="Times New Roman" w:cs="Times New Roman"/>
          <w:color w:val="000000" w:themeColor="text1"/>
          <w:sz w:val="28"/>
          <w:szCs w:val="28"/>
          <w:lang w:eastAsia="ru-RU"/>
        </w:rPr>
        <w:t xml:space="preserve"> настоящих Правил, или непредставление (представление не в полном объеме) указанных документов;</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lang w:eastAsia="ru-RU"/>
        </w:rPr>
        <w:t xml:space="preserve">14. Министерство </w:t>
      </w:r>
      <w:r w:rsidRPr="00E82C65">
        <w:rPr>
          <w:rFonts w:ascii="Times New Roman" w:eastAsia="Times New Roman" w:hAnsi="Times New Roman" w:cs="Times New Roman"/>
          <w:color w:val="FF0000"/>
          <w:sz w:val="28"/>
          <w:szCs w:val="28"/>
          <w:lang w:eastAsia="ru-RU"/>
        </w:rPr>
        <w:t xml:space="preserve">в течение 5 рабочих дней </w:t>
      </w:r>
      <w:r>
        <w:rPr>
          <w:rFonts w:ascii="Times New Roman" w:eastAsia="Times New Roman" w:hAnsi="Times New Roman" w:cs="Times New Roman"/>
          <w:color w:val="000000" w:themeColor="text1"/>
          <w:sz w:val="28"/>
          <w:szCs w:val="28"/>
          <w:lang w:eastAsia="ru-RU"/>
        </w:rPr>
        <w:t xml:space="preserve">со дня окончания срока подачи Заявок осуществляет рассмотрение Заявок и приложенных к ним документов в соответствии с </w:t>
      </w:r>
      <w:hyperlink r:id="rId18" w:anchor="/document/74923384/entry/11092" w:tooltip="https://internet.garant.ru/#/document/74923384/entry/11092" w:history="1">
        <w:r>
          <w:rPr>
            <w:rFonts w:ascii="Times New Roman" w:eastAsia="Times New Roman" w:hAnsi="Times New Roman" w:cs="Times New Roman"/>
            <w:color w:val="000000" w:themeColor="text1"/>
            <w:sz w:val="28"/>
            <w:szCs w:val="28"/>
            <w:lang w:eastAsia="ru-RU"/>
          </w:rPr>
          <w:t>пунктом 11</w:t>
        </w:r>
      </w:hyperlink>
      <w:r>
        <w:rPr>
          <w:rFonts w:ascii="Times New Roman" w:eastAsia="Times New Roman" w:hAnsi="Times New Roman" w:cs="Times New Roman"/>
          <w:color w:val="000000" w:themeColor="text1"/>
          <w:sz w:val="28"/>
          <w:szCs w:val="28"/>
          <w:lang w:eastAsia="ru-RU"/>
        </w:rPr>
        <w:t xml:space="preserve"> настоящих Правил, по результатам которого принимает решение о предоставлении Субсидии бюджету муниципального образования с указанием ее размера, определенного в </w:t>
      </w:r>
      <w:r w:rsidRPr="00E82C65">
        <w:rPr>
          <w:rFonts w:ascii="Times New Roman" w:eastAsia="Times New Roman" w:hAnsi="Times New Roman" w:cs="Times New Roman"/>
          <w:color w:val="FF0000"/>
          <w:sz w:val="28"/>
          <w:szCs w:val="28"/>
          <w:lang w:eastAsia="ru-RU"/>
        </w:rPr>
        <w:lastRenderedPageBreak/>
        <w:t xml:space="preserve">соответствии с </w:t>
      </w:r>
      <w:hyperlink r:id="rId19" w:anchor="/document/74923384/entry/11095" w:tooltip="https://internet.garant.ru/#/document/74923384/entry/11095" w:history="1">
        <w:r w:rsidRPr="00E82C65">
          <w:rPr>
            <w:rFonts w:ascii="Times New Roman" w:eastAsia="Times New Roman" w:hAnsi="Times New Roman" w:cs="Times New Roman"/>
            <w:color w:val="FF0000"/>
            <w:sz w:val="28"/>
            <w:szCs w:val="28"/>
            <w:lang w:eastAsia="ru-RU"/>
          </w:rPr>
          <w:t xml:space="preserve">пунктом </w:t>
        </w:r>
      </w:hyperlink>
      <w:r w:rsidRPr="00E82C65">
        <w:rPr>
          <w:rFonts w:ascii="Times New Roman" w:eastAsia="Times New Roman" w:hAnsi="Times New Roman" w:cs="Times New Roman"/>
          <w:color w:val="FF0000"/>
          <w:sz w:val="28"/>
          <w:szCs w:val="28"/>
          <w:lang w:eastAsia="ru-RU"/>
        </w:rPr>
        <w:t>15 настоящих Правил, или об отказе в предоставлении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 Размер Субсидии бюджету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муниципального образования, предоставляемой Министерством, определяется по формуле:</w:t>
      </w:r>
    </w:p>
    <w:p w:rsidR="00DE5208" w:rsidRDefault="00DE5208">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DE5208" w:rsidRPr="00E82C65" w:rsidRDefault="00C2192C">
      <w:pPr>
        <w:shd w:val="clear" w:color="auto" w:fill="FFFFFF"/>
        <w:spacing w:after="0" w:line="240" w:lineRule="auto"/>
        <w:ind w:firstLine="567"/>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themeColor="text1"/>
          <w:sz w:val="28"/>
          <w:szCs w:val="28"/>
          <w:lang w:val="en-US" w:eastAsia="ru-RU"/>
        </w:rPr>
        <w:t>Si = S / P x Pi,</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themeColor="text1"/>
          <w:sz w:val="28"/>
          <w:szCs w:val="28"/>
          <w:lang w:eastAsia="ru-RU"/>
        </w:rPr>
        <w:t>где</w:t>
      </w:r>
      <w:r>
        <w:rPr>
          <w:rFonts w:ascii="Times New Roman" w:eastAsia="Times New Roman" w:hAnsi="Times New Roman" w:cs="Times New Roman"/>
          <w:color w:val="000000" w:themeColor="text1"/>
          <w:sz w:val="28"/>
          <w:szCs w:val="28"/>
          <w:lang w:val="en-US" w:eastAsia="ru-RU"/>
        </w:rPr>
        <w:t>:</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themeColor="text1"/>
          <w:sz w:val="28"/>
          <w:szCs w:val="28"/>
          <w:lang w:eastAsia="ru-RU"/>
        </w:rPr>
        <w:t>Si</w:t>
      </w:r>
      <w:proofErr w:type="spellEnd"/>
      <w:r>
        <w:rPr>
          <w:rFonts w:ascii="Times New Roman" w:eastAsia="Times New Roman" w:hAnsi="Times New Roman" w:cs="Times New Roman"/>
          <w:color w:val="000000" w:themeColor="text1"/>
          <w:sz w:val="28"/>
          <w:szCs w:val="28"/>
          <w:lang w:eastAsia="ru-RU"/>
        </w:rPr>
        <w:t xml:space="preserve"> - размер Субсидии, предоставляемой местному бюджету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муниципального образования.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Размер субсидии, предоставляемый муниципальному образованию, не может быть больше указанной в Заявке потребности;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S - объем средств областного бюджета, предусмотренных на финансирование соответствующего мероприятия;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P - общий объем потребности муниципальных образований - победителей конкурсного отбора на предоставление Субсидии за счет средств областного бюджета;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themeColor="text1"/>
          <w:sz w:val="28"/>
          <w:szCs w:val="28"/>
          <w:lang w:eastAsia="ru-RU"/>
        </w:rPr>
        <w:t>Pi</w:t>
      </w:r>
      <w:proofErr w:type="spellEnd"/>
      <w:r>
        <w:rPr>
          <w:rFonts w:ascii="Times New Roman" w:eastAsia="Times New Roman" w:hAnsi="Times New Roman" w:cs="Times New Roman"/>
          <w:color w:val="000000" w:themeColor="text1"/>
          <w:sz w:val="28"/>
          <w:szCs w:val="28"/>
          <w:lang w:eastAsia="ru-RU"/>
        </w:rPr>
        <w:t xml:space="preserve"> - объем потребности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муниципального образования - победителя конкурсного отбора на предоставление Субсидии за счет средств областного бюджета в соответствии с Заявкой.</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Размер субсидии, предоставляемой бюджету </w:t>
      </w:r>
      <w:r>
        <w:rPr>
          <w:rFonts w:ascii="Times New Roman" w:eastAsia="Times New Roman" w:hAnsi="Times New Roman" w:cs="Times New Roman"/>
          <w:color w:val="000000" w:themeColor="text1"/>
          <w:sz w:val="28"/>
          <w:szCs w:val="28"/>
          <w:lang w:eastAsia="ru-RU"/>
        </w:rPr>
        <w:t>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муниципального образования, не может быть больше суммы потребности муниципального образования, предоставленной в заявке.</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16. Уровень </w:t>
      </w:r>
      <w:proofErr w:type="spellStart"/>
      <w:r>
        <w:rPr>
          <w:rFonts w:ascii="Times New Roman" w:eastAsia="Times New Roman" w:hAnsi="Times New Roman" w:cs="Times New Roman"/>
          <w:color w:val="000000" w:themeColor="text1"/>
          <w:sz w:val="28"/>
          <w:szCs w:val="28"/>
          <w:lang w:eastAsia="ru-RU"/>
        </w:rPr>
        <w:t>софинансирования</w:t>
      </w:r>
      <w:proofErr w:type="spellEnd"/>
      <w:r>
        <w:rPr>
          <w:rFonts w:ascii="Times New Roman" w:eastAsia="Times New Roman" w:hAnsi="Times New Roman" w:cs="Times New Roman"/>
          <w:color w:val="000000" w:themeColor="text1"/>
          <w:sz w:val="28"/>
          <w:szCs w:val="28"/>
          <w:lang w:eastAsia="ru-RU"/>
        </w:rPr>
        <w:t xml:space="preserve"> расходного обязательства муниципального образования, источником которого является Субсидия, устанавливается в соответствии с предельным уровнем </w:t>
      </w:r>
      <w:proofErr w:type="spellStart"/>
      <w:r>
        <w:rPr>
          <w:rFonts w:ascii="Times New Roman" w:eastAsia="Times New Roman" w:hAnsi="Times New Roman" w:cs="Times New Roman"/>
          <w:color w:val="000000" w:themeColor="text1"/>
          <w:sz w:val="28"/>
          <w:szCs w:val="28"/>
          <w:lang w:eastAsia="ru-RU"/>
        </w:rPr>
        <w:t>софинансирования</w:t>
      </w:r>
      <w:proofErr w:type="spellEnd"/>
      <w:r>
        <w:rPr>
          <w:rFonts w:ascii="Times New Roman" w:eastAsia="Times New Roman" w:hAnsi="Times New Roman" w:cs="Times New Roman"/>
          <w:color w:val="000000" w:themeColor="text1"/>
          <w:sz w:val="28"/>
          <w:szCs w:val="28"/>
          <w:lang w:eastAsia="ru-RU"/>
        </w:rPr>
        <w:t xml:space="preserve"> из областного бюджета расходного обязательства муниципального образования, утвержденным постановлением Правительства Мурманской области.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17. Предоставление </w:t>
      </w:r>
      <w:r w:rsidRPr="00E82C65">
        <w:rPr>
          <w:rFonts w:ascii="Times New Roman" w:eastAsia="Times New Roman" w:hAnsi="Times New Roman" w:cs="Times New Roman"/>
          <w:color w:val="FF0000"/>
          <w:sz w:val="28"/>
          <w:szCs w:val="28"/>
          <w:lang w:eastAsia="ru-RU"/>
        </w:rPr>
        <w:t>Субсидии осуществляется в соответствии с Соглашением, з</w:t>
      </w:r>
      <w:r>
        <w:rPr>
          <w:rFonts w:ascii="Times New Roman" w:eastAsia="Times New Roman" w:hAnsi="Times New Roman" w:cs="Times New Roman"/>
          <w:color w:val="000000" w:themeColor="text1"/>
          <w:sz w:val="28"/>
          <w:szCs w:val="28"/>
          <w:lang w:eastAsia="ru-RU"/>
        </w:rPr>
        <w:t xml:space="preserve">аключенным между Министерством и органами местного самоуправления муниципальных образований, согласно </w:t>
      </w:r>
      <w:hyperlink r:id="rId20" w:anchor="/document/16974422/entry/1000" w:tooltip="https://internet.garant.ru/#/document/16974422/entry/1000" w:history="1">
        <w:r>
          <w:rPr>
            <w:rFonts w:ascii="Times New Roman" w:eastAsia="Times New Roman" w:hAnsi="Times New Roman" w:cs="Times New Roman"/>
            <w:color w:val="000000" w:themeColor="text1"/>
            <w:sz w:val="28"/>
            <w:szCs w:val="28"/>
            <w:lang w:eastAsia="ru-RU"/>
          </w:rPr>
          <w:t>Правилам</w:t>
        </w:r>
      </w:hyperlink>
      <w:r>
        <w:rPr>
          <w:rFonts w:ascii="Times New Roman" w:eastAsia="Times New Roman" w:hAnsi="Times New Roman" w:cs="Times New Roman"/>
          <w:color w:val="000000" w:themeColor="text1"/>
          <w:sz w:val="28"/>
          <w:szCs w:val="28"/>
          <w:lang w:eastAsia="ru-RU"/>
        </w:rPr>
        <w:t xml:space="preserve"> формирования, предоставления и распределения субсидий из областного бюджета местным бюджетам Мурманской области, утвержденным </w:t>
      </w:r>
      <w:hyperlink r:id="rId21" w:anchor="/document/16974422/entry/0" w:tooltip="https://internet.garant.ru/#/document/16974422/entry/0" w:history="1">
        <w:r>
          <w:rPr>
            <w:rFonts w:ascii="Times New Roman" w:eastAsia="Times New Roman" w:hAnsi="Times New Roman" w:cs="Times New Roman"/>
            <w:color w:val="000000" w:themeColor="text1"/>
            <w:sz w:val="28"/>
            <w:szCs w:val="28"/>
            <w:lang w:eastAsia="ru-RU"/>
          </w:rPr>
          <w:t>постановлением</w:t>
        </w:r>
      </w:hyperlink>
      <w:r>
        <w:rPr>
          <w:rFonts w:ascii="Times New Roman" w:eastAsia="Times New Roman" w:hAnsi="Times New Roman" w:cs="Times New Roman"/>
          <w:color w:val="000000" w:themeColor="text1"/>
          <w:sz w:val="28"/>
          <w:szCs w:val="28"/>
          <w:lang w:eastAsia="ru-RU"/>
        </w:rPr>
        <w:t xml:space="preserve"> Правительства Мурманской области от 05.09.2011 № 445-ПП (далее - Правила 445-ПП).</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Соглашение формируется и заключается в программном комплексе «Реестр соглашений» электронной системы «</w:t>
      </w:r>
      <w:proofErr w:type="spellStart"/>
      <w:r>
        <w:rPr>
          <w:rFonts w:ascii="Times New Roman" w:eastAsia="Times New Roman" w:hAnsi="Times New Roman" w:cs="Times New Roman"/>
          <w:color w:val="000000" w:themeColor="text1"/>
          <w:sz w:val="28"/>
          <w:szCs w:val="28"/>
          <w:lang w:eastAsia="ru-RU"/>
        </w:rPr>
        <w:t>Web</w:t>
      </w:r>
      <w:proofErr w:type="spellEnd"/>
      <w:r>
        <w:rPr>
          <w:rFonts w:ascii="Times New Roman" w:eastAsia="Times New Roman" w:hAnsi="Times New Roman" w:cs="Times New Roman"/>
          <w:color w:val="000000" w:themeColor="text1"/>
          <w:sz w:val="28"/>
          <w:szCs w:val="28"/>
          <w:lang w:eastAsia="ru-RU"/>
        </w:rPr>
        <w:t>-Бюджет» (далее - программный комплекс) в соответствии с типовой формой, утвержденной Министерством финансов Мурманской области.</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xml:space="preserve">18. Администрации ежемесячно представляют в Министерство в срок до 20-го числа месяца, предшествующего месяцу финансирования, заявку на финансирование Субсидии по утвержденной Министерством форме согласно </w:t>
      </w:r>
      <w:hyperlink r:id="rId22" w:anchor="/document/74923384/entry/11116" w:tooltip="https://internet.garant.ru/#/document/74923384/entry/11116" w:history="1">
        <w:r w:rsidRPr="00E82C65">
          <w:rPr>
            <w:rFonts w:ascii="Times New Roman" w:eastAsia="Times New Roman" w:hAnsi="Times New Roman" w:cs="Times New Roman"/>
            <w:color w:val="FF0000"/>
            <w:sz w:val="28"/>
            <w:szCs w:val="28"/>
            <w:lang w:eastAsia="ru-RU"/>
          </w:rPr>
          <w:t>приложению № 2</w:t>
        </w:r>
      </w:hyperlink>
      <w:r w:rsidRPr="00E82C65">
        <w:rPr>
          <w:rFonts w:ascii="Times New Roman" w:eastAsia="Times New Roman" w:hAnsi="Times New Roman" w:cs="Times New Roman"/>
          <w:color w:val="FF0000"/>
          <w:sz w:val="28"/>
          <w:szCs w:val="28"/>
          <w:lang w:eastAsia="ru-RU"/>
        </w:rPr>
        <w:t xml:space="preserve"> к настоящим Правилам.</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19. Министерство перечисляет Субсидии на единые счета местных бюджетов, открытые финансовым органам муниципальных образований в </w:t>
      </w:r>
      <w:r>
        <w:rPr>
          <w:rFonts w:ascii="Times New Roman" w:eastAsia="Times New Roman" w:hAnsi="Times New Roman" w:cs="Times New Roman"/>
          <w:color w:val="000000" w:themeColor="text1"/>
          <w:sz w:val="28"/>
          <w:szCs w:val="28"/>
          <w:lang w:eastAsia="ru-RU"/>
        </w:rPr>
        <w:lastRenderedPageBreak/>
        <w:t>территориальных органах Федерального казначейства для осуществления операций по исполнению местного бюджета, на лицевой счет соответствующего администратора доходов, уполномоченного на использование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20.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w:t>
      </w:r>
      <w:proofErr w:type="spellStart"/>
      <w:r>
        <w:rPr>
          <w:rFonts w:ascii="Times New Roman" w:eastAsia="Times New Roman" w:hAnsi="Times New Roman" w:cs="Times New Roman"/>
          <w:color w:val="000000" w:themeColor="text1"/>
          <w:sz w:val="28"/>
          <w:szCs w:val="28"/>
          <w:lang w:eastAsia="ru-RU"/>
        </w:rPr>
        <w:t>софинансирования</w:t>
      </w:r>
      <w:proofErr w:type="spellEnd"/>
      <w:r>
        <w:rPr>
          <w:rFonts w:ascii="Times New Roman" w:eastAsia="Times New Roman" w:hAnsi="Times New Roman" w:cs="Times New Roman"/>
          <w:color w:val="000000" w:themeColor="text1"/>
          <w:sz w:val="28"/>
          <w:szCs w:val="28"/>
          <w:lang w:eastAsia="ru-RU"/>
        </w:rPr>
        <w:t xml:space="preserve"> которого предоставляется Субсидия,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w:t>
      </w:r>
      <w:proofErr w:type="spellStart"/>
      <w:r>
        <w:rPr>
          <w:rFonts w:ascii="Times New Roman" w:eastAsia="Times New Roman" w:hAnsi="Times New Roman" w:cs="Times New Roman"/>
          <w:color w:val="000000" w:themeColor="text1"/>
          <w:sz w:val="28"/>
          <w:szCs w:val="28"/>
          <w:lang w:eastAsia="ru-RU"/>
        </w:rPr>
        <w:t>софинансируемого</w:t>
      </w:r>
      <w:proofErr w:type="spellEnd"/>
      <w:r>
        <w:rPr>
          <w:rFonts w:ascii="Times New Roman" w:eastAsia="Times New Roman" w:hAnsi="Times New Roman" w:cs="Times New Roman"/>
          <w:color w:val="000000" w:themeColor="text1"/>
          <w:sz w:val="28"/>
          <w:szCs w:val="28"/>
          <w:lang w:eastAsia="ru-RU"/>
        </w:rPr>
        <w:t xml:space="preserve"> из областного бюджета, либо уровень </w:t>
      </w:r>
      <w:proofErr w:type="spellStart"/>
      <w:r>
        <w:rPr>
          <w:rFonts w:ascii="Times New Roman" w:eastAsia="Times New Roman" w:hAnsi="Times New Roman" w:cs="Times New Roman"/>
          <w:color w:val="000000" w:themeColor="text1"/>
          <w:sz w:val="28"/>
          <w:szCs w:val="28"/>
          <w:lang w:eastAsia="ru-RU"/>
        </w:rPr>
        <w:t>софинансирования</w:t>
      </w:r>
      <w:proofErr w:type="spellEnd"/>
      <w:r>
        <w:rPr>
          <w:rFonts w:ascii="Times New Roman" w:eastAsia="Times New Roman" w:hAnsi="Times New Roman" w:cs="Times New Roman"/>
          <w:color w:val="000000" w:themeColor="text1"/>
          <w:sz w:val="28"/>
          <w:szCs w:val="28"/>
          <w:lang w:eastAsia="ru-RU"/>
        </w:rPr>
        <w:t>,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21. Администрации представляют в Министерство:</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1) ежеквартально, не позднее 8-го числа месяца, следующего за отчетным кварталом, в котором была получена Субсидия:</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отчет об осуществлении расходов, источником финансового обеспечения которых являются Субсидии из областного бюджета, по установленной Соглашением форме;</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2) ежегодно, не позднее 15-го числа месяца, следующего за отчетным годом, в котором была получена Субсидия:</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 отчет о достижении значений показателей результативности использования субсидии по установленной Соглашением форме.</w:t>
      </w: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FF0000"/>
          <w:sz w:val="28"/>
          <w:szCs w:val="28"/>
        </w:rPr>
      </w:pPr>
      <w:r w:rsidRPr="00E82C65">
        <w:rPr>
          <w:rFonts w:ascii="Times New Roman" w:eastAsia="Times New Roman" w:hAnsi="Times New Roman" w:cs="Times New Roman"/>
          <w:color w:val="FF0000"/>
          <w:sz w:val="28"/>
          <w:szCs w:val="28"/>
          <w:lang w:eastAsia="ru-RU"/>
        </w:rPr>
        <w:t>Предварительный отчет за год администрации представляют в Министерство до 5 декабря текущего года.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Отчетность представляется посредством программного комплекса.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22. В случае если в отчетном финансовом году муниципальным образованием допущены нарушения обязательств, предусмотренных Соглашением в соответствии с </w:t>
      </w:r>
      <w:hyperlink r:id="rId23" w:anchor="/document/74923384/entry/11089" w:tooltip="https://internet.garant.ru/#/document/74923384/entry/11089" w:history="1">
        <w:r>
          <w:rPr>
            <w:rFonts w:ascii="Times New Roman" w:eastAsia="Times New Roman" w:hAnsi="Times New Roman" w:cs="Times New Roman"/>
            <w:color w:val="000000" w:themeColor="text1"/>
            <w:sz w:val="28"/>
            <w:szCs w:val="28"/>
            <w:lang w:eastAsia="ru-RU"/>
          </w:rPr>
          <w:t>пунктом 8</w:t>
        </w:r>
      </w:hyperlink>
      <w:r>
        <w:rPr>
          <w:rFonts w:ascii="Times New Roman" w:eastAsia="Times New Roman" w:hAnsi="Times New Roman" w:cs="Times New Roman"/>
          <w:color w:val="000000" w:themeColor="text1"/>
          <w:sz w:val="28"/>
          <w:szCs w:val="28"/>
          <w:lang w:eastAsia="ru-RU"/>
        </w:rPr>
        <w:t xml:space="preserve">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w:t>
      </w:r>
    </w:p>
    <w:p w:rsidR="00DE5208" w:rsidRDefault="00DE5208">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V</w:t>
      </w:r>
      <w:r>
        <w:rPr>
          <w:rFonts w:ascii="Times New Roman" w:eastAsia="Times New Roman" w:hAnsi="Times New Roman" w:cs="Times New Roman"/>
          <w:color w:val="000000" w:themeColor="text1"/>
          <w:sz w:val="28"/>
          <w:szCs w:val="28"/>
          <w:vertAlign w:val="subscript"/>
          <w:lang w:eastAsia="ru-RU"/>
        </w:rPr>
        <w:t> возврата</w:t>
      </w:r>
      <w:r>
        <w:rPr>
          <w:rFonts w:ascii="Times New Roman" w:eastAsia="Times New Roman" w:hAnsi="Times New Roman" w:cs="Times New Roman"/>
          <w:color w:val="000000" w:themeColor="text1"/>
          <w:sz w:val="28"/>
          <w:szCs w:val="28"/>
          <w:lang w:eastAsia="ru-RU"/>
        </w:rPr>
        <w:t xml:space="preserve"> = (V</w:t>
      </w:r>
      <w:r>
        <w:rPr>
          <w:rFonts w:ascii="Times New Roman" w:eastAsia="Times New Roman" w:hAnsi="Times New Roman" w:cs="Times New Roman"/>
          <w:color w:val="000000" w:themeColor="text1"/>
          <w:sz w:val="28"/>
          <w:szCs w:val="28"/>
          <w:vertAlign w:val="subscript"/>
          <w:lang w:eastAsia="ru-RU"/>
        </w:rPr>
        <w:t> субсидии</w:t>
      </w:r>
      <w:r>
        <w:rPr>
          <w:rFonts w:ascii="Times New Roman" w:eastAsia="Times New Roman" w:hAnsi="Times New Roman" w:cs="Times New Roman"/>
          <w:color w:val="000000" w:themeColor="text1"/>
          <w:sz w:val="28"/>
          <w:szCs w:val="28"/>
          <w:lang w:eastAsia="ru-RU"/>
        </w:rPr>
        <w:t xml:space="preserve"> x k x m / n) x 0,1,</w:t>
      </w:r>
    </w:p>
    <w:p w:rsidR="00DE5208" w:rsidRDefault="00DE5208">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где:</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V</w:t>
      </w:r>
      <w:r>
        <w:rPr>
          <w:rFonts w:ascii="Times New Roman" w:eastAsia="Times New Roman" w:hAnsi="Times New Roman" w:cs="Times New Roman"/>
          <w:color w:val="000000" w:themeColor="text1"/>
          <w:sz w:val="28"/>
          <w:szCs w:val="28"/>
          <w:vertAlign w:val="subscript"/>
          <w:lang w:eastAsia="ru-RU"/>
        </w:rPr>
        <w:t> субсидии</w:t>
      </w:r>
      <w:r>
        <w:rPr>
          <w:rFonts w:ascii="Times New Roman" w:eastAsia="Times New Roman" w:hAnsi="Times New Roman" w:cs="Times New Roman"/>
          <w:color w:val="000000" w:themeColor="text1"/>
          <w:sz w:val="28"/>
          <w:szCs w:val="28"/>
          <w:lang w:eastAsia="ru-RU"/>
        </w:rPr>
        <w:t xml:space="preserve"> - размер субсидии, предоставленной местному бюджету в отчетном финансовом году;</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m - количество показателей результативности использования субсидии, по которым индекс, отражающий уровень </w:t>
      </w:r>
      <w:proofErr w:type="spellStart"/>
      <w:r>
        <w:rPr>
          <w:rFonts w:ascii="Times New Roman" w:eastAsia="Times New Roman" w:hAnsi="Times New Roman" w:cs="Times New Roman"/>
          <w:color w:val="000000" w:themeColor="text1"/>
          <w:sz w:val="28"/>
          <w:szCs w:val="28"/>
          <w:lang w:eastAsia="ru-RU"/>
        </w:rPr>
        <w:t>недостижения</w:t>
      </w:r>
      <w:proofErr w:type="spellEnd"/>
      <w:r>
        <w:rPr>
          <w:rFonts w:ascii="Times New Roman" w:eastAsia="Times New Roman" w:hAnsi="Times New Roman" w:cs="Times New Roman"/>
          <w:color w:val="000000" w:themeColor="text1"/>
          <w:sz w:val="28"/>
          <w:szCs w:val="28"/>
          <w:lang w:eastAsia="ru-RU"/>
        </w:rPr>
        <w:t xml:space="preserve">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предоставления субсидии, имеет положительное значение;</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lastRenderedPageBreak/>
        <w:t>n - общее количество показателей результативности использования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k - коэффициент возврата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w:t>
      </w:r>
      <w:r>
        <w:rPr>
          <w:rFonts w:ascii="Times New Roman" w:eastAsia="Times New Roman" w:hAnsi="Times New Roman" w:cs="Times New Roman"/>
          <w:color w:val="000000" w:themeColor="text1"/>
          <w:sz w:val="28"/>
          <w:szCs w:val="28"/>
          <w:vertAlign w:val="subscript"/>
          <w:lang w:eastAsia="ru-RU"/>
        </w:rPr>
        <w:t> субсидии</w:t>
      </w:r>
      <w:r>
        <w:rPr>
          <w:rFonts w:ascii="Times New Roman" w:eastAsia="Times New Roman" w:hAnsi="Times New Roman" w:cs="Times New Roman"/>
          <w:color w:val="000000" w:themeColor="text1"/>
          <w:sz w:val="28"/>
          <w:szCs w:val="28"/>
          <w:lang w:eastAsia="ru-RU"/>
        </w:rPr>
        <w:t>), не учитывается размер остатка субсидии, не использованного по состоянию на 1 января текущего финансового года.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Коэффициент возврата субсидии рассчитывается по формуле:</w:t>
      </w:r>
    </w:p>
    <w:p w:rsidR="00DE5208" w:rsidRDefault="00DE5208">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DE5208" w:rsidRPr="00E82C65" w:rsidRDefault="00C2192C">
      <w:pPr>
        <w:spacing w:after="0" w:line="240" w:lineRule="auto"/>
        <w:ind w:firstLine="567"/>
        <w:jc w:val="center"/>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themeColor="text1"/>
          <w:sz w:val="28"/>
          <w:szCs w:val="28"/>
          <w:lang w:val="en-US"/>
        </w:rPr>
        <w:t>k = SUM D</w:t>
      </w:r>
      <w:r>
        <w:rPr>
          <w:rFonts w:ascii="Times New Roman" w:eastAsia="Times New Roman" w:hAnsi="Times New Roman" w:cs="Times New Roman"/>
          <w:color w:val="000000" w:themeColor="text1"/>
          <w:sz w:val="28"/>
          <w:szCs w:val="28"/>
          <w:vertAlign w:val="subscript"/>
          <w:lang w:val="en-US"/>
        </w:rPr>
        <w:t>i</w:t>
      </w:r>
      <w:r>
        <w:rPr>
          <w:rFonts w:ascii="Times New Roman" w:eastAsia="Times New Roman" w:hAnsi="Times New Roman" w:cs="Times New Roman"/>
          <w:color w:val="000000" w:themeColor="text1"/>
          <w:sz w:val="28"/>
          <w:szCs w:val="28"/>
          <w:lang w:val="en-US"/>
        </w:rPr>
        <w:t xml:space="preserve"> / m, </w:t>
      </w:r>
    </w:p>
    <w:p w:rsidR="00DE5208" w:rsidRPr="00E82C65" w:rsidRDefault="00DE5208">
      <w:pPr>
        <w:spacing w:after="0" w:line="240" w:lineRule="auto"/>
        <w:ind w:firstLine="567"/>
        <w:jc w:val="center"/>
        <w:rPr>
          <w:rFonts w:ascii="Times New Roman" w:eastAsia="Times New Roman" w:hAnsi="Times New Roman" w:cs="Times New Roman"/>
          <w:color w:val="000000"/>
          <w:sz w:val="28"/>
          <w:szCs w:val="28"/>
          <w:highlight w:val="yellow"/>
          <w:lang w:val="en-US"/>
        </w:rPr>
      </w:pPr>
    </w:p>
    <w:p w:rsidR="00DE5208" w:rsidRPr="00E82C65"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themeColor="text1"/>
          <w:sz w:val="28"/>
          <w:szCs w:val="28"/>
          <w:lang w:eastAsia="ru-RU"/>
        </w:rPr>
        <w:t>где</w:t>
      </w:r>
      <w:r>
        <w:rPr>
          <w:rFonts w:ascii="Times New Roman" w:eastAsia="Times New Roman" w:hAnsi="Times New Roman" w:cs="Times New Roman"/>
          <w:color w:val="000000" w:themeColor="text1"/>
          <w:sz w:val="28"/>
          <w:szCs w:val="28"/>
          <w:lang w:val="en-US" w:eastAsia="ru-RU"/>
        </w:rPr>
        <w:t>:</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D</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индекс, отражающий уровень </w:t>
      </w:r>
      <w:proofErr w:type="spellStart"/>
      <w:r>
        <w:rPr>
          <w:rFonts w:ascii="Times New Roman" w:eastAsia="Times New Roman" w:hAnsi="Times New Roman" w:cs="Times New Roman"/>
          <w:color w:val="000000" w:themeColor="text1"/>
          <w:sz w:val="28"/>
          <w:szCs w:val="28"/>
          <w:lang w:eastAsia="ru-RU"/>
        </w:rPr>
        <w:t>недостижения</w:t>
      </w:r>
      <w:proofErr w:type="spellEnd"/>
      <w:r>
        <w:rPr>
          <w:rFonts w:ascii="Times New Roman" w:eastAsia="Times New Roman" w:hAnsi="Times New Roman" w:cs="Times New Roman"/>
          <w:color w:val="000000" w:themeColor="text1"/>
          <w:sz w:val="28"/>
          <w:szCs w:val="28"/>
          <w:lang w:eastAsia="ru-RU"/>
        </w:rPr>
        <w:t xml:space="preserve">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использования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m - количество показателей результативности использования субсидии, по которым индекс, отражающий уровень </w:t>
      </w:r>
      <w:proofErr w:type="spellStart"/>
      <w:r>
        <w:rPr>
          <w:rFonts w:ascii="Times New Roman" w:eastAsia="Times New Roman" w:hAnsi="Times New Roman" w:cs="Times New Roman"/>
          <w:color w:val="000000" w:themeColor="text1"/>
          <w:sz w:val="28"/>
          <w:szCs w:val="28"/>
          <w:lang w:eastAsia="ru-RU"/>
        </w:rPr>
        <w:t>недостижения</w:t>
      </w:r>
      <w:proofErr w:type="spellEnd"/>
      <w:r>
        <w:rPr>
          <w:rFonts w:ascii="Times New Roman" w:eastAsia="Times New Roman" w:hAnsi="Times New Roman" w:cs="Times New Roman"/>
          <w:color w:val="000000" w:themeColor="text1"/>
          <w:sz w:val="28"/>
          <w:szCs w:val="28"/>
          <w:lang w:eastAsia="ru-RU"/>
        </w:rPr>
        <w:t xml:space="preserve">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предоставления субсидии, имеет положительное значение.</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Pr>
          <w:rFonts w:ascii="Times New Roman" w:eastAsia="Times New Roman" w:hAnsi="Times New Roman" w:cs="Times New Roman"/>
          <w:color w:val="000000" w:themeColor="text1"/>
          <w:sz w:val="28"/>
          <w:szCs w:val="28"/>
          <w:lang w:eastAsia="ru-RU"/>
        </w:rPr>
        <w:t>недостижения</w:t>
      </w:r>
      <w:proofErr w:type="spellEnd"/>
      <w:r>
        <w:rPr>
          <w:rFonts w:ascii="Times New Roman" w:eastAsia="Times New Roman" w:hAnsi="Times New Roman" w:cs="Times New Roman"/>
          <w:color w:val="000000" w:themeColor="text1"/>
          <w:sz w:val="28"/>
          <w:szCs w:val="28"/>
          <w:lang w:eastAsia="ru-RU"/>
        </w:rPr>
        <w:t xml:space="preserve">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использования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Индекс, отражающий уровень </w:t>
      </w:r>
      <w:proofErr w:type="spellStart"/>
      <w:r>
        <w:rPr>
          <w:rFonts w:ascii="Times New Roman" w:eastAsia="Times New Roman" w:hAnsi="Times New Roman" w:cs="Times New Roman"/>
          <w:color w:val="000000" w:themeColor="text1"/>
          <w:sz w:val="28"/>
          <w:szCs w:val="28"/>
          <w:lang w:eastAsia="ru-RU"/>
        </w:rPr>
        <w:t>недостижения</w:t>
      </w:r>
      <w:proofErr w:type="spellEnd"/>
      <w:r>
        <w:rPr>
          <w:rFonts w:ascii="Times New Roman" w:eastAsia="Times New Roman" w:hAnsi="Times New Roman" w:cs="Times New Roman"/>
          <w:color w:val="000000" w:themeColor="text1"/>
          <w:sz w:val="28"/>
          <w:szCs w:val="28"/>
          <w:lang w:eastAsia="ru-RU"/>
        </w:rPr>
        <w:t xml:space="preserve">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использования субсидии, определяется: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DE5208" w:rsidRDefault="00DE5208">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D</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1 - T</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S</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w:t>
      </w:r>
    </w:p>
    <w:p w:rsidR="00DE5208" w:rsidRDefault="00DE5208">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где:</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T</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фактически достигнутое значение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использования субсидии на отчетную дату;</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S</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плановое значение i-</w:t>
      </w:r>
      <w:proofErr w:type="spellStart"/>
      <w:r>
        <w:rPr>
          <w:rFonts w:ascii="Times New Roman" w:eastAsia="Times New Roman" w:hAnsi="Times New Roman" w:cs="Times New Roman"/>
          <w:color w:val="000000" w:themeColor="text1"/>
          <w:sz w:val="28"/>
          <w:szCs w:val="28"/>
          <w:lang w:eastAsia="ru-RU"/>
        </w:rPr>
        <w:t>го</w:t>
      </w:r>
      <w:proofErr w:type="spellEnd"/>
      <w:r>
        <w:rPr>
          <w:rFonts w:ascii="Times New Roman" w:eastAsia="Times New Roman" w:hAnsi="Times New Roman" w:cs="Times New Roman"/>
          <w:color w:val="000000" w:themeColor="text1"/>
          <w:sz w:val="28"/>
          <w:szCs w:val="28"/>
          <w:lang w:eastAsia="ru-RU"/>
        </w:rPr>
        <w:t xml:space="preserve"> показателя результативности использования субсидии, установленное Соглашением;</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DE5208" w:rsidRDefault="00DE5208">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center"/>
        <w:rPr>
          <w:rFonts w:ascii="Times New Roman" w:eastAsia="Times New Roman" w:hAnsi="Times New Roman" w:cs="Times New Roman"/>
          <w:color w:val="000000"/>
          <w:sz w:val="28"/>
          <w:szCs w:val="28"/>
          <w:vertAlign w:val="subscript"/>
          <w:lang w:eastAsia="ru-RU"/>
        </w:rPr>
      </w:pPr>
      <w:r>
        <w:rPr>
          <w:rFonts w:ascii="Times New Roman" w:eastAsia="Times New Roman" w:hAnsi="Times New Roman" w:cs="Times New Roman"/>
          <w:color w:val="000000" w:themeColor="text1"/>
          <w:sz w:val="28"/>
          <w:szCs w:val="28"/>
          <w:lang w:eastAsia="ru-RU"/>
        </w:rPr>
        <w:t>D</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1 - S</w:t>
      </w:r>
      <w:r>
        <w:rPr>
          <w:rFonts w:ascii="Times New Roman" w:eastAsia="Times New Roman" w:hAnsi="Times New Roman" w:cs="Times New Roman"/>
          <w:color w:val="000000" w:themeColor="text1"/>
          <w:sz w:val="28"/>
          <w:szCs w:val="28"/>
          <w:vertAlign w:val="subscript"/>
          <w:lang w:eastAsia="ru-RU"/>
        </w:rPr>
        <w:t> i</w:t>
      </w:r>
      <w:r>
        <w:rPr>
          <w:rFonts w:ascii="Times New Roman" w:eastAsia="Times New Roman" w:hAnsi="Times New Roman" w:cs="Times New Roman"/>
          <w:color w:val="000000" w:themeColor="text1"/>
          <w:sz w:val="28"/>
          <w:szCs w:val="28"/>
          <w:lang w:eastAsia="ru-RU"/>
        </w:rPr>
        <w:t xml:space="preserve"> / T</w:t>
      </w:r>
      <w:r>
        <w:rPr>
          <w:rFonts w:ascii="Times New Roman" w:eastAsia="Times New Roman" w:hAnsi="Times New Roman" w:cs="Times New Roman"/>
          <w:color w:val="000000" w:themeColor="text1"/>
          <w:sz w:val="28"/>
          <w:szCs w:val="28"/>
          <w:vertAlign w:val="subscript"/>
          <w:lang w:eastAsia="ru-RU"/>
        </w:rPr>
        <w:t> i</w:t>
      </w:r>
    </w:p>
    <w:p w:rsidR="00DE5208" w:rsidRDefault="00DE5208">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23. Основанием для освобождения муниципальных образований от применения мер ответственности, предусмотренных </w:t>
      </w:r>
      <w:hyperlink r:id="rId24" w:anchor="/document/74923384/entry/11105" w:tooltip="https://internet.garant.ru/#/document/74923384/entry/11105" w:history="1">
        <w:r>
          <w:rPr>
            <w:rFonts w:ascii="Times New Roman" w:eastAsia="Times New Roman" w:hAnsi="Times New Roman" w:cs="Times New Roman"/>
            <w:color w:val="000000" w:themeColor="text1"/>
            <w:sz w:val="28"/>
            <w:szCs w:val="28"/>
            <w:lang w:eastAsia="ru-RU"/>
          </w:rPr>
          <w:t>пунктом 22</w:t>
        </w:r>
      </w:hyperlink>
      <w:r>
        <w:rPr>
          <w:rFonts w:ascii="Times New Roman" w:eastAsia="Times New Roman" w:hAnsi="Times New Roman" w:cs="Times New Roman"/>
          <w:color w:val="000000" w:themeColor="text1"/>
          <w:sz w:val="28"/>
          <w:szCs w:val="28"/>
          <w:lang w:eastAsia="ru-RU"/>
        </w:rPr>
        <w:t xml:space="preserve"> настоящих Правил, является документально подтвержденное наступление следующих </w:t>
      </w:r>
      <w:r>
        <w:rPr>
          <w:rFonts w:ascii="Times New Roman" w:eastAsia="Times New Roman" w:hAnsi="Times New Roman" w:cs="Times New Roman"/>
          <w:color w:val="000000" w:themeColor="text1"/>
          <w:sz w:val="28"/>
          <w:szCs w:val="28"/>
          <w:lang w:eastAsia="ru-RU"/>
        </w:rPr>
        <w:lastRenderedPageBreak/>
        <w:t>обстоятельств непреодолимой силы, препятствующих исполнению соответствующих обязательств:</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8 настоящих Правил.</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hyperlink r:id="rId25" w:anchor="/document/74923384/entry/11105" w:tooltip="https://internet.garant.ru/#/document/74923384/entry/11105" w:history="1">
        <w:r>
          <w:rPr>
            <w:rFonts w:ascii="Times New Roman" w:eastAsia="Times New Roman" w:hAnsi="Times New Roman" w:cs="Times New Roman"/>
            <w:color w:val="000000" w:themeColor="text1"/>
            <w:sz w:val="28"/>
            <w:szCs w:val="28"/>
            <w:lang w:eastAsia="ru-RU"/>
          </w:rPr>
          <w:t>пунктом 22</w:t>
        </w:r>
      </w:hyperlink>
      <w:r>
        <w:rPr>
          <w:rFonts w:ascii="Times New Roman" w:eastAsia="Times New Roman" w:hAnsi="Times New Roman" w:cs="Times New Roman"/>
          <w:color w:val="000000" w:themeColor="text1"/>
          <w:sz w:val="28"/>
          <w:szCs w:val="28"/>
          <w:lang w:eastAsia="ru-RU"/>
        </w:rPr>
        <w:t xml:space="preserve"> настоящих Правил, главные распорядители средств областного бюджета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направляют главе администрации муниципального образования требование по возврату из местного бюджета в областной бюджет объема средств, рассчитанного в соответствии с пунктом 22 настоящих Правил, с указанием сумм, подлежащих возврату, средств и сроков их возврата в соответствии с настоящими Правилами.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24. В соответствии с решением Министерства о наличии потребности в Субсидии, не использованной в отчетном финансовом году, согласованным с Министерством финансов Мурманской области, средства в объеме, не превышающем остатка Субсидии,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указанной Субсидии.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lastRenderedPageBreak/>
        <w:t>Потребность в неиспользованной Субсидии, перечисление которой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является Субсидия из областного бюджета (далее - под фактическую потребность), определяется в текущем финансовом году в соответствии с решением Министерства.</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Субсидии, предоставление которой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Министерством.</w:t>
      </w:r>
    </w:p>
    <w:p w:rsidR="00DE5208" w:rsidRDefault="00C2192C">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25. </w:t>
      </w:r>
      <w:r>
        <w:rPr>
          <w:rFonts w:ascii="Times New Roman" w:eastAsia="Times New Roman" w:hAnsi="Times New Roman" w:cs="Times New Roman"/>
          <w:color w:val="000000" w:themeColor="text1"/>
          <w:sz w:val="28"/>
        </w:rP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6" w:anchor="/document/16974422/entry/704" w:tooltip="https://internet.garant.ru/#/document/16974422/entry/704" w:history="1">
        <w:r>
          <w:rPr>
            <w:rStyle w:val="af7"/>
            <w:rFonts w:ascii="Times New Roman" w:eastAsia="Times New Roman" w:hAnsi="Times New Roman" w:cs="Times New Roman"/>
            <w:color w:val="000000" w:themeColor="text1"/>
            <w:sz w:val="28"/>
            <w:u w:val="none"/>
          </w:rPr>
          <w:t>пунктом</w:t>
        </w:r>
      </w:hyperlink>
      <w:r>
        <w:rPr>
          <w:rFonts w:ascii="Times New Roman" w:eastAsia="Times New Roman" w:hAnsi="Times New Roman" w:cs="Times New Roman"/>
          <w:color w:val="000000" w:themeColor="text1"/>
          <w:sz w:val="28"/>
        </w:rPr>
        <w:t xml:space="preserve"> 16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w:t>
      </w:r>
      <w:proofErr w:type="spellStart"/>
      <w:r>
        <w:rPr>
          <w:rFonts w:ascii="Times New Roman" w:eastAsia="Times New Roman" w:hAnsi="Times New Roman" w:cs="Times New Roman"/>
          <w:color w:val="000000" w:themeColor="text1"/>
          <w:sz w:val="28"/>
        </w:rPr>
        <w:t>Sн</w:t>
      </w:r>
      <w:proofErr w:type="spellEnd"/>
      <w:r>
        <w:rPr>
          <w:rFonts w:ascii="Times New Roman" w:eastAsia="Times New Roman" w:hAnsi="Times New Roman" w:cs="Times New Roman"/>
          <w:color w:val="000000" w:themeColor="text1"/>
          <w:sz w:val="28"/>
        </w:rPr>
        <w:t>), рассчитывается по формуле:</w:t>
      </w:r>
    </w:p>
    <w:p w:rsidR="00DE5208" w:rsidRDefault="00C2192C">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themeColor="text1"/>
          <w:sz w:val="28"/>
          <w:highlight w:val="white"/>
        </w:rPr>
        <w:t xml:space="preserve">  </w:t>
      </w:r>
    </w:p>
    <w:p w:rsidR="00DE5208" w:rsidRDefault="00C2192C">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themeColor="text1"/>
          <w:sz w:val="28"/>
        </w:rPr>
        <w:t>Sн</w:t>
      </w:r>
      <w:proofErr w:type="spellEnd"/>
      <w:r>
        <w:rPr>
          <w:rFonts w:ascii="Times New Roman" w:eastAsia="Times New Roman" w:hAnsi="Times New Roman" w:cs="Times New Roman"/>
          <w:color w:val="000000" w:themeColor="text1"/>
          <w:sz w:val="28"/>
        </w:rPr>
        <w:t xml:space="preserve"> = </w:t>
      </w:r>
      <w:proofErr w:type="spellStart"/>
      <w:r>
        <w:rPr>
          <w:rFonts w:ascii="Times New Roman" w:eastAsia="Times New Roman" w:hAnsi="Times New Roman" w:cs="Times New Roman"/>
          <w:color w:val="000000" w:themeColor="text1"/>
          <w:sz w:val="28"/>
        </w:rPr>
        <w:t>Sф</w:t>
      </w:r>
      <w:proofErr w:type="spellEnd"/>
      <w:r>
        <w:rPr>
          <w:rFonts w:ascii="Times New Roman" w:eastAsia="Times New Roman" w:hAnsi="Times New Roman" w:cs="Times New Roman"/>
          <w:color w:val="000000" w:themeColor="text1"/>
          <w:sz w:val="28"/>
        </w:rPr>
        <w:t xml:space="preserve"> - </w:t>
      </w:r>
      <w:proofErr w:type="spellStart"/>
      <w:r>
        <w:rPr>
          <w:rFonts w:ascii="Times New Roman" w:eastAsia="Times New Roman" w:hAnsi="Times New Roman" w:cs="Times New Roman"/>
          <w:color w:val="000000" w:themeColor="text1"/>
          <w:sz w:val="28"/>
        </w:rPr>
        <w:t>Sк</w:t>
      </w:r>
      <w:proofErr w:type="spellEnd"/>
      <w:r>
        <w:rPr>
          <w:rFonts w:ascii="Times New Roman" w:eastAsia="Times New Roman" w:hAnsi="Times New Roman" w:cs="Times New Roman"/>
          <w:color w:val="000000" w:themeColor="text1"/>
          <w:sz w:val="28"/>
        </w:rPr>
        <w:t xml:space="preserve"> x </w:t>
      </w:r>
      <w:proofErr w:type="spellStart"/>
      <w:r>
        <w:rPr>
          <w:rFonts w:ascii="Times New Roman" w:eastAsia="Times New Roman" w:hAnsi="Times New Roman" w:cs="Times New Roman"/>
          <w:color w:val="000000" w:themeColor="text1"/>
          <w:sz w:val="28"/>
        </w:rPr>
        <w:t>Kф</w:t>
      </w:r>
      <w:proofErr w:type="spellEnd"/>
      <w:r>
        <w:rPr>
          <w:rFonts w:ascii="Times New Roman" w:eastAsia="Times New Roman" w:hAnsi="Times New Roman" w:cs="Times New Roman"/>
          <w:color w:val="000000" w:themeColor="text1"/>
          <w:sz w:val="28"/>
        </w:rPr>
        <w:t xml:space="preserve">, </w:t>
      </w:r>
    </w:p>
    <w:p w:rsidR="00DE5208" w:rsidRDefault="00DE5208">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sz w:val="28"/>
        </w:rPr>
      </w:pPr>
    </w:p>
    <w:p w:rsidR="00DE5208" w:rsidRDefault="00C2192C">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themeColor="text1"/>
          <w:sz w:val="28"/>
        </w:rPr>
        <w:t>где:</w:t>
      </w:r>
    </w:p>
    <w:p w:rsidR="00DE5208" w:rsidRDefault="00C2192C">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themeColor="text1"/>
          <w:sz w:val="28"/>
        </w:rPr>
        <w:t>Sф</w:t>
      </w:r>
      <w:proofErr w:type="spellEnd"/>
      <w:r>
        <w:rPr>
          <w:rFonts w:ascii="Times New Roman" w:eastAsia="Times New Roman" w:hAnsi="Times New Roman" w:cs="Times New Roman"/>
          <w:color w:val="000000" w:themeColor="text1"/>
          <w:sz w:val="28"/>
        </w:rPr>
        <w:t xml:space="preserve"> - сумма предоставленной субсидии для </w:t>
      </w:r>
      <w:proofErr w:type="spellStart"/>
      <w:r>
        <w:rPr>
          <w:rFonts w:ascii="Times New Roman" w:eastAsia="Times New Roman" w:hAnsi="Times New Roman" w:cs="Times New Roman"/>
          <w:color w:val="000000" w:themeColor="text1"/>
          <w:sz w:val="28"/>
        </w:rPr>
        <w:t>софинансирования</w:t>
      </w:r>
      <w:proofErr w:type="spellEnd"/>
      <w:r>
        <w:rPr>
          <w:rFonts w:ascii="Times New Roman" w:eastAsia="Times New Roman" w:hAnsi="Times New Roman" w:cs="Times New Roman"/>
          <w:color w:val="000000" w:themeColor="text1"/>
          <w:sz w:val="28"/>
        </w:rPr>
        <w:t xml:space="preserve"> расходного обязательства муниципального образования;</w:t>
      </w:r>
    </w:p>
    <w:p w:rsidR="00DE5208" w:rsidRDefault="00C2192C">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themeColor="text1"/>
          <w:sz w:val="28"/>
        </w:rPr>
        <w:t>Sк</w:t>
      </w:r>
      <w:proofErr w:type="spellEnd"/>
      <w:r>
        <w:rPr>
          <w:rFonts w:ascii="Times New Roman" w:eastAsia="Times New Roman" w:hAnsi="Times New Roman" w:cs="Times New Roman"/>
          <w:color w:val="000000" w:themeColor="text1"/>
          <w:sz w:val="28"/>
        </w:rPr>
        <w:t xml:space="preserve">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DE5208" w:rsidRDefault="00C2192C">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themeColor="text1"/>
          <w:sz w:val="28"/>
        </w:rPr>
        <w:t>Kф</w:t>
      </w:r>
      <w:proofErr w:type="spellEnd"/>
      <w:r>
        <w:rPr>
          <w:rFonts w:ascii="Times New Roman" w:eastAsia="Times New Roman" w:hAnsi="Times New Roman" w:cs="Times New Roman"/>
          <w:color w:val="000000" w:themeColor="text1"/>
          <w:sz w:val="28"/>
        </w:rPr>
        <w:t xml:space="preserve"> - коэффициент, выражающий уровень </w:t>
      </w:r>
      <w:proofErr w:type="spellStart"/>
      <w:r>
        <w:rPr>
          <w:rFonts w:ascii="Times New Roman" w:eastAsia="Times New Roman" w:hAnsi="Times New Roman" w:cs="Times New Roman"/>
          <w:color w:val="000000" w:themeColor="text1"/>
          <w:sz w:val="28"/>
        </w:rPr>
        <w:t>софинансирования</w:t>
      </w:r>
      <w:proofErr w:type="spellEnd"/>
      <w:r>
        <w:rPr>
          <w:rFonts w:ascii="Times New Roman" w:eastAsia="Times New Roman" w:hAnsi="Times New Roman" w:cs="Times New Roman"/>
          <w:color w:val="000000" w:themeColor="text1"/>
          <w:sz w:val="28"/>
        </w:rPr>
        <w:t xml:space="preserve"> расходного обязательства муниципального образования в соответствии с Соглашением.</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26. Администрации несут ответственность за нецелевое использование Субсидии, а также за несвоевременность и недостоверность предоставляемых сведений.</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27. В случае нецелевого использования Субсидии применяются бюджетные меры принуждения, предусмотренные </w:t>
      </w:r>
      <w:hyperlink r:id="rId27" w:anchor="/document/12112604/entry/20001" w:tooltip="https://internet.garant.ru/#/document/12112604/entry/20001" w:history="1">
        <w:r>
          <w:rPr>
            <w:rFonts w:ascii="Times New Roman" w:eastAsia="Times New Roman" w:hAnsi="Times New Roman" w:cs="Times New Roman"/>
            <w:color w:val="000000" w:themeColor="text1"/>
            <w:sz w:val="28"/>
            <w:szCs w:val="28"/>
            <w:lang w:eastAsia="ru-RU"/>
          </w:rPr>
          <w:t>бюджетным законодательством</w:t>
        </w:r>
      </w:hyperlink>
      <w:r>
        <w:rPr>
          <w:rFonts w:ascii="Times New Roman" w:eastAsia="Times New Roman" w:hAnsi="Times New Roman" w:cs="Times New Roman"/>
          <w:color w:val="000000" w:themeColor="text1"/>
          <w:sz w:val="28"/>
          <w:szCs w:val="28"/>
          <w:lang w:eastAsia="ru-RU"/>
        </w:rPr>
        <w:t xml:space="preserve"> Российской Федерации.</w:t>
      </w:r>
    </w:p>
    <w:p w:rsidR="00DE5208" w:rsidRDefault="00C2192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28. Контроль за соблюдением получателями Субсидий условий, целей и порядка, установленных при их предоставлении, осуществляется Министерством и органами государственного финансового контроля.</w:t>
      </w:r>
    </w:p>
    <w:p w:rsidR="00DE5208" w:rsidRDefault="00C219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E5208" w:rsidRDefault="00C2192C">
      <w:pPr>
        <w:spacing w:after="0" w:line="240" w:lineRule="auto"/>
        <w:ind w:firstLine="567"/>
        <w:jc w:val="right"/>
        <w:rPr>
          <w:rFonts w:ascii="Times New Roman" w:hAnsi="Times New Roman"/>
          <w:bCs/>
          <w:sz w:val="28"/>
          <w:szCs w:val="28"/>
        </w:rPr>
      </w:pPr>
      <w:r>
        <w:rPr>
          <w:rFonts w:ascii="Times New Roman" w:hAnsi="Times New Roman"/>
          <w:bCs/>
          <w:sz w:val="28"/>
          <w:szCs w:val="28"/>
        </w:rPr>
        <w:lastRenderedPageBreak/>
        <w:t>Приложение № 1</w:t>
      </w:r>
    </w:p>
    <w:p w:rsidR="00DE5208" w:rsidRDefault="00C2192C">
      <w:pPr>
        <w:spacing w:after="0" w:line="240" w:lineRule="auto"/>
        <w:ind w:firstLine="567"/>
        <w:jc w:val="right"/>
        <w:rPr>
          <w:rStyle w:val="af7"/>
          <w:rFonts w:ascii="Times New Roman" w:hAnsi="Times New Roman"/>
          <w:color w:val="000000"/>
          <w:sz w:val="28"/>
          <w:szCs w:val="28"/>
          <w:u w:val="none"/>
        </w:rPr>
      </w:pPr>
      <w:r>
        <w:rPr>
          <w:rFonts w:ascii="Times New Roman" w:hAnsi="Times New Roman"/>
          <w:bCs/>
          <w:color w:val="000000" w:themeColor="text1"/>
          <w:sz w:val="28"/>
          <w:szCs w:val="28"/>
        </w:rPr>
        <w:t xml:space="preserve">к </w:t>
      </w:r>
      <w:hyperlink w:anchor="sub_8000" w:tooltip="#sub_8000" w:history="1">
        <w:r>
          <w:rPr>
            <w:rStyle w:val="af7"/>
            <w:rFonts w:ascii="Times New Roman" w:hAnsi="Times New Roman"/>
            <w:color w:val="000000" w:themeColor="text1"/>
            <w:sz w:val="28"/>
            <w:szCs w:val="28"/>
            <w:u w:val="none"/>
          </w:rPr>
          <w:t>Правилам</w:t>
        </w:r>
      </w:hyperlink>
    </w:p>
    <w:p w:rsidR="00DE5208" w:rsidRDefault="00DE5208">
      <w:pPr>
        <w:spacing w:after="0" w:line="240" w:lineRule="auto"/>
        <w:ind w:firstLine="567"/>
        <w:jc w:val="right"/>
        <w:rPr>
          <w:rFonts w:ascii="Times New Roman" w:hAnsi="Times New Roman"/>
          <w:sz w:val="28"/>
          <w:szCs w:val="28"/>
        </w:rPr>
      </w:pPr>
    </w:p>
    <w:p w:rsidR="00DE5208" w:rsidRDefault="00C2192C">
      <w:pPr>
        <w:spacing w:after="0" w:line="240" w:lineRule="auto"/>
        <w:ind w:firstLine="567"/>
        <w:jc w:val="right"/>
        <w:rPr>
          <w:rFonts w:ascii="Times New Roman" w:hAnsi="Times New Roman"/>
          <w:sz w:val="28"/>
          <w:szCs w:val="28"/>
        </w:rPr>
      </w:pPr>
      <w:r>
        <w:rPr>
          <w:rFonts w:ascii="Times New Roman" w:hAnsi="Times New Roman"/>
          <w:bCs/>
          <w:sz w:val="28"/>
          <w:szCs w:val="28"/>
        </w:rPr>
        <w:t>Форма</w:t>
      </w:r>
    </w:p>
    <w:p w:rsidR="00DE5208" w:rsidRDefault="00DE5208">
      <w:pPr>
        <w:spacing w:after="0" w:line="240" w:lineRule="auto"/>
        <w:ind w:firstLine="567"/>
        <w:jc w:val="right"/>
        <w:rPr>
          <w:rFonts w:ascii="Times New Roman" w:hAnsi="Times New Roman"/>
          <w:sz w:val="28"/>
          <w:szCs w:val="28"/>
        </w:rPr>
      </w:pPr>
    </w:p>
    <w:p w:rsidR="00DE5208" w:rsidRDefault="00DE5208">
      <w:pPr>
        <w:spacing w:after="0" w:line="240" w:lineRule="auto"/>
        <w:ind w:firstLine="567"/>
        <w:jc w:val="right"/>
        <w:rPr>
          <w:rFonts w:ascii="Times New Roman" w:hAnsi="Times New Roman"/>
          <w:sz w:val="28"/>
          <w:szCs w:val="28"/>
        </w:rPr>
      </w:pPr>
    </w:p>
    <w:p w:rsidR="00DE5208" w:rsidRDefault="00C2192C">
      <w:pPr>
        <w:spacing w:after="0" w:line="240" w:lineRule="auto"/>
        <w:ind w:left="-142"/>
        <w:jc w:val="center"/>
        <w:rPr>
          <w:rFonts w:ascii="Times New Roman" w:hAnsi="Times New Roman"/>
        </w:rPr>
      </w:pPr>
      <w:r>
        <w:rPr>
          <w:rFonts w:ascii="Times New Roman" w:hAnsi="Times New Roman"/>
          <w:bCs/>
          <w:sz w:val="28"/>
          <w:szCs w:val="28"/>
        </w:rPr>
        <w:t>Заявка</w:t>
      </w:r>
      <w:r>
        <w:rPr>
          <w:rFonts w:ascii="Times New Roman" w:hAnsi="Times New Roman"/>
          <w:bCs/>
          <w:sz w:val="28"/>
          <w:szCs w:val="28"/>
        </w:rPr>
        <w:br/>
        <w:t>о потребности в средствах из областного бюджета</w:t>
      </w:r>
      <w:r>
        <w:rPr>
          <w:rFonts w:ascii="Times New Roman" w:hAnsi="Times New Roman"/>
          <w:b/>
          <w:bCs/>
          <w:sz w:val="28"/>
          <w:szCs w:val="28"/>
        </w:rPr>
        <w:t xml:space="preserve"> </w:t>
      </w:r>
      <w:r>
        <w:rPr>
          <w:rFonts w:ascii="Times New Roman" w:hAnsi="Times New Roman"/>
          <w:b/>
          <w:bCs/>
          <w:strike/>
          <w:color w:val="FF0000"/>
          <w:sz w:val="28"/>
          <w:szCs w:val="28"/>
        </w:rPr>
        <w:br/>
      </w:r>
      <w:r>
        <w:rPr>
          <w:rFonts w:ascii="Times New Roman" w:hAnsi="Times New Roman"/>
          <w:b/>
          <w:bCs/>
          <w:sz w:val="28"/>
          <w:szCs w:val="28"/>
        </w:rPr>
        <w:t>__________________________________________________________________</w:t>
      </w:r>
      <w:proofErr w:type="gramStart"/>
      <w:r>
        <w:rPr>
          <w:rFonts w:ascii="Times New Roman" w:hAnsi="Times New Roman"/>
          <w:b/>
          <w:bCs/>
          <w:sz w:val="28"/>
          <w:szCs w:val="28"/>
        </w:rPr>
        <w:t>_</w:t>
      </w:r>
      <w:r>
        <w:rPr>
          <w:rFonts w:ascii="Times New Roman" w:hAnsi="Times New Roman"/>
          <w:b/>
          <w:bCs/>
          <w:sz w:val="28"/>
          <w:szCs w:val="28"/>
        </w:rPr>
        <w:br/>
      </w:r>
      <w:r>
        <w:rPr>
          <w:rFonts w:ascii="Times New Roman" w:hAnsi="Times New Roman"/>
          <w:bCs/>
          <w:sz w:val="20"/>
          <w:szCs w:val="20"/>
        </w:rPr>
        <w:t>(</w:t>
      </w:r>
      <w:proofErr w:type="gramEnd"/>
      <w:r>
        <w:rPr>
          <w:rFonts w:ascii="Times New Roman" w:hAnsi="Times New Roman"/>
          <w:bCs/>
          <w:sz w:val="20"/>
          <w:szCs w:val="20"/>
        </w:rPr>
        <w:t>наименование муниципального образования Мурманской области)</w:t>
      </w:r>
    </w:p>
    <w:p w:rsidR="00DE5208" w:rsidRDefault="00C2192C">
      <w:pPr>
        <w:spacing w:after="0" w:line="240" w:lineRule="auto"/>
        <w:ind w:firstLine="567"/>
        <w:jc w:val="center"/>
        <w:rPr>
          <w:rFonts w:ascii="Times New Roman" w:hAnsi="Times New Roman"/>
        </w:rPr>
      </w:pPr>
      <w:r>
        <w:rPr>
          <w:rFonts w:ascii="Times New Roman" w:hAnsi="Times New Roman"/>
          <w:b/>
          <w:bCs/>
          <w:sz w:val="20"/>
          <w:szCs w:val="20"/>
        </w:rPr>
        <w:br/>
      </w:r>
      <w:r>
        <w:rPr>
          <w:rFonts w:ascii="Times New Roman" w:hAnsi="Times New Roman"/>
          <w:bCs/>
          <w:sz w:val="28"/>
          <w:szCs w:val="28"/>
        </w:rPr>
        <w:t xml:space="preserve">на </w:t>
      </w:r>
      <w:proofErr w:type="spellStart"/>
      <w:r>
        <w:rPr>
          <w:rFonts w:ascii="Times New Roman" w:hAnsi="Times New Roman"/>
          <w:bCs/>
          <w:sz w:val="28"/>
          <w:szCs w:val="28"/>
        </w:rPr>
        <w:t>софинансирование</w:t>
      </w:r>
      <w:proofErr w:type="spellEnd"/>
      <w:r>
        <w:rPr>
          <w:rFonts w:ascii="Times New Roman" w:hAnsi="Times New Roman"/>
          <w:bCs/>
          <w:sz w:val="28"/>
          <w:szCs w:val="28"/>
        </w:rPr>
        <w:t xml:space="preserve"> мероприятий по открытию спортивных пространств для молодежи</w:t>
      </w:r>
    </w:p>
    <w:p w:rsidR="00DE5208" w:rsidRDefault="00DE5208">
      <w:pPr>
        <w:rPr>
          <w:rFonts w:ascii="Times New Roman" w:hAnsi="Times New Roman"/>
          <w:sz w:val="28"/>
          <w:szCs w:val="28"/>
        </w:rPr>
      </w:pPr>
    </w:p>
    <w:tbl>
      <w:tblPr>
        <w:tblpPr w:leftFromText="180" w:rightFromText="180" w:vertAnchor="text" w:horzAnchor="margin" w:tblpX="-128" w:tblpY="2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1701"/>
        <w:gridCol w:w="2409"/>
        <w:gridCol w:w="1276"/>
      </w:tblGrid>
      <w:tr w:rsidR="00DE5208">
        <w:tc>
          <w:tcPr>
            <w:tcW w:w="2268" w:type="dxa"/>
            <w:vMerge w:val="restart"/>
          </w:tcPr>
          <w:p w:rsidR="00DE5208" w:rsidRDefault="00C2192C">
            <w:pPr>
              <w:spacing w:after="0" w:line="240" w:lineRule="auto"/>
              <w:rPr>
                <w:rFonts w:ascii="Times New Roman" w:hAnsi="Times New Roman"/>
                <w:sz w:val="24"/>
                <w:szCs w:val="24"/>
              </w:rPr>
            </w:pPr>
            <w:r>
              <w:rPr>
                <w:rFonts w:ascii="Times New Roman" w:hAnsi="Times New Roman"/>
                <w:sz w:val="24"/>
                <w:szCs w:val="24"/>
              </w:rPr>
              <w:t xml:space="preserve">Объем потребности в средствах областного бюджета на </w:t>
            </w: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мероприятий по открытию </w:t>
            </w:r>
            <w:r>
              <w:rPr>
                <w:rFonts w:ascii="Times New Roman" w:hAnsi="Times New Roman"/>
                <w:bCs/>
                <w:sz w:val="24"/>
                <w:szCs w:val="24"/>
              </w:rPr>
              <w:t>спортивных</w:t>
            </w:r>
            <w:r>
              <w:rPr>
                <w:rFonts w:ascii="Times New Roman" w:hAnsi="Times New Roman"/>
                <w:b/>
                <w:bCs/>
                <w:sz w:val="24"/>
                <w:szCs w:val="24"/>
              </w:rPr>
              <w:t xml:space="preserve"> </w:t>
            </w:r>
            <w:r>
              <w:rPr>
                <w:rFonts w:ascii="Times New Roman" w:hAnsi="Times New Roman"/>
                <w:sz w:val="24"/>
                <w:szCs w:val="24"/>
              </w:rPr>
              <w:t>пространств для молодежи в целях поддержки и развития массового спорта в Мурманской области, руб.</w:t>
            </w:r>
          </w:p>
        </w:tc>
        <w:tc>
          <w:tcPr>
            <w:tcW w:w="2127" w:type="dxa"/>
            <w:vMerge w:val="restart"/>
          </w:tcPr>
          <w:p w:rsidR="00DE5208" w:rsidRDefault="00C2192C">
            <w:pPr>
              <w:spacing w:after="0" w:line="240" w:lineRule="auto"/>
              <w:rPr>
                <w:rFonts w:ascii="Times New Roman" w:hAnsi="Times New Roman"/>
                <w:sz w:val="24"/>
                <w:szCs w:val="24"/>
              </w:rPr>
            </w:pPr>
            <w:r>
              <w:rPr>
                <w:rFonts w:ascii="Times New Roman" w:hAnsi="Times New Roman"/>
                <w:sz w:val="24"/>
                <w:szCs w:val="24"/>
              </w:rPr>
              <w:t>Количество молодежи 14-35 лет, занимающейся физической культурой и спортом в 20___, 20___ гг. в соответствии с государственной отчетностью</w:t>
            </w:r>
          </w:p>
        </w:tc>
        <w:tc>
          <w:tcPr>
            <w:tcW w:w="5386" w:type="dxa"/>
            <w:gridSpan w:val="3"/>
          </w:tcPr>
          <w:p w:rsidR="00DE5208" w:rsidRDefault="00C2192C">
            <w:pPr>
              <w:spacing w:after="0" w:line="240" w:lineRule="auto"/>
              <w:rPr>
                <w:rFonts w:ascii="Times New Roman" w:hAnsi="Times New Roman"/>
                <w:sz w:val="24"/>
                <w:szCs w:val="24"/>
              </w:rPr>
            </w:pPr>
            <w:r>
              <w:rPr>
                <w:rFonts w:ascii="Times New Roman" w:hAnsi="Times New Roman"/>
                <w:sz w:val="24"/>
                <w:szCs w:val="24"/>
              </w:rPr>
              <w:t>Сведения о помещении, предназначенном под спортивное пространство:</w:t>
            </w:r>
          </w:p>
        </w:tc>
      </w:tr>
      <w:tr w:rsidR="00DE5208">
        <w:tc>
          <w:tcPr>
            <w:tcW w:w="2268" w:type="dxa"/>
            <w:vMerge/>
          </w:tcPr>
          <w:p w:rsidR="00DE5208" w:rsidRDefault="00DE5208">
            <w:pPr>
              <w:spacing w:after="0" w:line="240" w:lineRule="auto"/>
              <w:ind w:firstLine="567"/>
              <w:rPr>
                <w:rFonts w:ascii="Times New Roman" w:hAnsi="Times New Roman"/>
                <w:sz w:val="24"/>
                <w:szCs w:val="24"/>
              </w:rPr>
            </w:pPr>
          </w:p>
        </w:tc>
        <w:tc>
          <w:tcPr>
            <w:tcW w:w="2127" w:type="dxa"/>
            <w:vMerge/>
          </w:tcPr>
          <w:p w:rsidR="00DE5208" w:rsidRDefault="00DE5208">
            <w:pPr>
              <w:spacing w:after="0" w:line="240" w:lineRule="auto"/>
              <w:ind w:firstLine="567"/>
              <w:rPr>
                <w:rFonts w:ascii="Times New Roman" w:hAnsi="Times New Roman"/>
                <w:sz w:val="24"/>
                <w:szCs w:val="24"/>
              </w:rPr>
            </w:pPr>
          </w:p>
        </w:tc>
        <w:tc>
          <w:tcPr>
            <w:tcW w:w="1701" w:type="dxa"/>
          </w:tcPr>
          <w:p w:rsidR="00DE5208" w:rsidRDefault="00C2192C">
            <w:pPr>
              <w:spacing w:after="0" w:line="240" w:lineRule="auto"/>
              <w:rPr>
                <w:rFonts w:ascii="Times New Roman" w:hAnsi="Times New Roman"/>
                <w:sz w:val="24"/>
                <w:szCs w:val="24"/>
              </w:rPr>
            </w:pPr>
            <w:r>
              <w:rPr>
                <w:rFonts w:ascii="Times New Roman" w:hAnsi="Times New Roman"/>
                <w:sz w:val="24"/>
                <w:szCs w:val="24"/>
              </w:rPr>
              <w:t>адрес расположения</w:t>
            </w:r>
          </w:p>
        </w:tc>
        <w:tc>
          <w:tcPr>
            <w:tcW w:w="2409" w:type="dxa"/>
          </w:tcPr>
          <w:p w:rsidR="00DE5208" w:rsidRDefault="00C2192C">
            <w:pPr>
              <w:spacing w:after="0" w:line="240" w:lineRule="auto"/>
              <w:rPr>
                <w:rFonts w:ascii="Times New Roman" w:hAnsi="Times New Roman"/>
                <w:sz w:val="24"/>
                <w:szCs w:val="24"/>
              </w:rPr>
            </w:pPr>
            <w:r>
              <w:rPr>
                <w:rFonts w:ascii="Times New Roman" w:hAnsi="Times New Roman"/>
                <w:sz w:val="24"/>
                <w:szCs w:val="24"/>
              </w:rPr>
              <w:t>площадь, кв. м</w:t>
            </w:r>
          </w:p>
        </w:tc>
        <w:tc>
          <w:tcPr>
            <w:tcW w:w="1276" w:type="dxa"/>
          </w:tcPr>
          <w:p w:rsidR="00DE5208" w:rsidRDefault="00C2192C">
            <w:pPr>
              <w:spacing w:after="0" w:line="240" w:lineRule="auto"/>
              <w:jc w:val="both"/>
              <w:rPr>
                <w:rFonts w:ascii="Times New Roman" w:hAnsi="Times New Roman"/>
                <w:sz w:val="24"/>
                <w:szCs w:val="24"/>
              </w:rPr>
            </w:pPr>
            <w:proofErr w:type="gramStart"/>
            <w:r>
              <w:rPr>
                <w:rFonts w:ascii="Times New Roman" w:hAnsi="Times New Roman"/>
                <w:sz w:val="24"/>
                <w:szCs w:val="24"/>
              </w:rPr>
              <w:t>ведом-</w:t>
            </w:r>
            <w:proofErr w:type="spellStart"/>
            <w:r>
              <w:rPr>
                <w:rFonts w:ascii="Times New Roman" w:hAnsi="Times New Roman"/>
                <w:sz w:val="24"/>
                <w:szCs w:val="24"/>
              </w:rPr>
              <w:t>ственная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принад-лежность</w:t>
            </w:r>
            <w:proofErr w:type="spellEnd"/>
          </w:p>
        </w:tc>
      </w:tr>
      <w:tr w:rsidR="00DE5208">
        <w:tc>
          <w:tcPr>
            <w:tcW w:w="2268" w:type="dxa"/>
          </w:tcPr>
          <w:p w:rsidR="00DE5208" w:rsidRDefault="00DE5208">
            <w:pPr>
              <w:spacing w:after="0" w:line="240" w:lineRule="auto"/>
              <w:ind w:firstLine="567"/>
              <w:jc w:val="both"/>
              <w:rPr>
                <w:rFonts w:ascii="Times New Roman" w:hAnsi="Times New Roman"/>
                <w:sz w:val="24"/>
                <w:szCs w:val="24"/>
              </w:rPr>
            </w:pPr>
          </w:p>
        </w:tc>
        <w:tc>
          <w:tcPr>
            <w:tcW w:w="2127" w:type="dxa"/>
          </w:tcPr>
          <w:p w:rsidR="00DE5208" w:rsidRDefault="00DE5208">
            <w:pPr>
              <w:spacing w:after="0" w:line="240" w:lineRule="auto"/>
              <w:ind w:firstLine="567"/>
              <w:jc w:val="both"/>
              <w:rPr>
                <w:rFonts w:ascii="Times New Roman" w:hAnsi="Times New Roman"/>
                <w:sz w:val="24"/>
                <w:szCs w:val="24"/>
              </w:rPr>
            </w:pPr>
          </w:p>
        </w:tc>
        <w:tc>
          <w:tcPr>
            <w:tcW w:w="1701" w:type="dxa"/>
          </w:tcPr>
          <w:p w:rsidR="00DE5208" w:rsidRDefault="00DE5208">
            <w:pPr>
              <w:spacing w:after="0" w:line="240" w:lineRule="auto"/>
              <w:ind w:firstLine="567"/>
              <w:jc w:val="both"/>
              <w:rPr>
                <w:rFonts w:ascii="Times New Roman" w:hAnsi="Times New Roman"/>
                <w:sz w:val="24"/>
                <w:szCs w:val="24"/>
              </w:rPr>
            </w:pPr>
          </w:p>
        </w:tc>
        <w:tc>
          <w:tcPr>
            <w:tcW w:w="2409" w:type="dxa"/>
          </w:tcPr>
          <w:p w:rsidR="00DE5208" w:rsidRDefault="00DE5208">
            <w:pPr>
              <w:spacing w:after="0" w:line="240" w:lineRule="auto"/>
              <w:ind w:firstLine="567"/>
              <w:jc w:val="both"/>
              <w:rPr>
                <w:rFonts w:ascii="Times New Roman" w:hAnsi="Times New Roman"/>
                <w:sz w:val="24"/>
                <w:szCs w:val="24"/>
              </w:rPr>
            </w:pPr>
          </w:p>
        </w:tc>
        <w:tc>
          <w:tcPr>
            <w:tcW w:w="1276" w:type="dxa"/>
          </w:tcPr>
          <w:p w:rsidR="00DE5208" w:rsidRDefault="00DE5208">
            <w:pPr>
              <w:spacing w:after="0" w:line="240" w:lineRule="auto"/>
              <w:ind w:firstLine="567"/>
              <w:jc w:val="both"/>
              <w:rPr>
                <w:rFonts w:ascii="Times New Roman" w:hAnsi="Times New Roman"/>
                <w:sz w:val="24"/>
                <w:szCs w:val="24"/>
              </w:rPr>
            </w:pPr>
          </w:p>
        </w:tc>
      </w:tr>
      <w:tr w:rsidR="00DE5208">
        <w:tc>
          <w:tcPr>
            <w:tcW w:w="2268" w:type="dxa"/>
          </w:tcPr>
          <w:p w:rsidR="00DE5208" w:rsidRDefault="00DE5208">
            <w:pPr>
              <w:spacing w:after="0" w:line="240" w:lineRule="auto"/>
              <w:ind w:firstLine="567"/>
              <w:jc w:val="both"/>
              <w:rPr>
                <w:rFonts w:ascii="Times New Roman" w:hAnsi="Times New Roman"/>
                <w:sz w:val="24"/>
                <w:szCs w:val="24"/>
              </w:rPr>
            </w:pPr>
          </w:p>
        </w:tc>
        <w:tc>
          <w:tcPr>
            <w:tcW w:w="2127" w:type="dxa"/>
          </w:tcPr>
          <w:p w:rsidR="00DE5208" w:rsidRDefault="00DE5208">
            <w:pPr>
              <w:spacing w:after="0" w:line="240" w:lineRule="auto"/>
              <w:ind w:firstLine="567"/>
              <w:jc w:val="both"/>
              <w:rPr>
                <w:rFonts w:ascii="Times New Roman" w:hAnsi="Times New Roman"/>
                <w:sz w:val="24"/>
                <w:szCs w:val="24"/>
              </w:rPr>
            </w:pPr>
          </w:p>
        </w:tc>
        <w:tc>
          <w:tcPr>
            <w:tcW w:w="1701" w:type="dxa"/>
          </w:tcPr>
          <w:p w:rsidR="00DE5208" w:rsidRDefault="00DE5208">
            <w:pPr>
              <w:spacing w:after="0" w:line="240" w:lineRule="auto"/>
              <w:ind w:firstLine="567"/>
              <w:jc w:val="both"/>
              <w:rPr>
                <w:rFonts w:ascii="Times New Roman" w:hAnsi="Times New Roman"/>
                <w:sz w:val="24"/>
                <w:szCs w:val="24"/>
              </w:rPr>
            </w:pPr>
          </w:p>
        </w:tc>
        <w:tc>
          <w:tcPr>
            <w:tcW w:w="2409" w:type="dxa"/>
          </w:tcPr>
          <w:p w:rsidR="00DE5208" w:rsidRDefault="00DE5208">
            <w:pPr>
              <w:spacing w:after="0" w:line="240" w:lineRule="auto"/>
              <w:ind w:firstLine="567"/>
              <w:jc w:val="both"/>
              <w:rPr>
                <w:rFonts w:ascii="Times New Roman" w:hAnsi="Times New Roman"/>
                <w:sz w:val="24"/>
                <w:szCs w:val="24"/>
              </w:rPr>
            </w:pPr>
          </w:p>
        </w:tc>
        <w:tc>
          <w:tcPr>
            <w:tcW w:w="1276" w:type="dxa"/>
          </w:tcPr>
          <w:p w:rsidR="00DE5208" w:rsidRDefault="00DE5208">
            <w:pPr>
              <w:spacing w:after="0" w:line="240" w:lineRule="auto"/>
              <w:ind w:firstLine="567"/>
              <w:jc w:val="both"/>
              <w:rPr>
                <w:rFonts w:ascii="Times New Roman" w:hAnsi="Times New Roman"/>
                <w:sz w:val="24"/>
                <w:szCs w:val="24"/>
              </w:rPr>
            </w:pPr>
          </w:p>
        </w:tc>
      </w:tr>
      <w:tr w:rsidR="00DE5208">
        <w:tc>
          <w:tcPr>
            <w:tcW w:w="2268" w:type="dxa"/>
          </w:tcPr>
          <w:p w:rsidR="00DE5208" w:rsidRDefault="00DE5208">
            <w:pPr>
              <w:spacing w:after="0" w:line="240" w:lineRule="auto"/>
              <w:ind w:firstLine="567"/>
              <w:jc w:val="both"/>
              <w:rPr>
                <w:rFonts w:ascii="Times New Roman" w:hAnsi="Times New Roman"/>
                <w:sz w:val="24"/>
                <w:szCs w:val="24"/>
              </w:rPr>
            </w:pPr>
          </w:p>
        </w:tc>
        <w:tc>
          <w:tcPr>
            <w:tcW w:w="2127" w:type="dxa"/>
          </w:tcPr>
          <w:p w:rsidR="00DE5208" w:rsidRDefault="00DE5208">
            <w:pPr>
              <w:spacing w:after="0" w:line="240" w:lineRule="auto"/>
              <w:ind w:firstLine="567"/>
              <w:jc w:val="both"/>
              <w:rPr>
                <w:rFonts w:ascii="Times New Roman" w:hAnsi="Times New Roman"/>
                <w:sz w:val="24"/>
                <w:szCs w:val="24"/>
              </w:rPr>
            </w:pPr>
          </w:p>
        </w:tc>
        <w:tc>
          <w:tcPr>
            <w:tcW w:w="1701" w:type="dxa"/>
          </w:tcPr>
          <w:p w:rsidR="00DE5208" w:rsidRDefault="00DE5208">
            <w:pPr>
              <w:spacing w:after="0" w:line="240" w:lineRule="auto"/>
              <w:ind w:firstLine="567"/>
              <w:jc w:val="both"/>
              <w:rPr>
                <w:rFonts w:ascii="Times New Roman" w:hAnsi="Times New Roman"/>
                <w:sz w:val="24"/>
                <w:szCs w:val="24"/>
              </w:rPr>
            </w:pPr>
          </w:p>
        </w:tc>
        <w:tc>
          <w:tcPr>
            <w:tcW w:w="2409" w:type="dxa"/>
          </w:tcPr>
          <w:p w:rsidR="00DE5208" w:rsidRDefault="00DE5208">
            <w:pPr>
              <w:spacing w:after="0" w:line="240" w:lineRule="auto"/>
              <w:ind w:firstLine="567"/>
              <w:jc w:val="both"/>
              <w:rPr>
                <w:rFonts w:ascii="Times New Roman" w:hAnsi="Times New Roman"/>
                <w:sz w:val="24"/>
                <w:szCs w:val="24"/>
              </w:rPr>
            </w:pPr>
          </w:p>
        </w:tc>
        <w:tc>
          <w:tcPr>
            <w:tcW w:w="1276" w:type="dxa"/>
          </w:tcPr>
          <w:p w:rsidR="00DE5208" w:rsidRDefault="00DE5208">
            <w:pPr>
              <w:spacing w:after="0" w:line="240" w:lineRule="auto"/>
              <w:ind w:firstLine="567"/>
              <w:jc w:val="both"/>
              <w:rPr>
                <w:rFonts w:ascii="Times New Roman" w:hAnsi="Times New Roman"/>
                <w:sz w:val="24"/>
                <w:szCs w:val="24"/>
              </w:rPr>
            </w:pPr>
          </w:p>
        </w:tc>
      </w:tr>
    </w:tbl>
    <w:p w:rsidR="00DE5208" w:rsidRDefault="00DE5208">
      <w:pPr>
        <w:spacing w:line="240" w:lineRule="auto"/>
        <w:jc w:val="both"/>
        <w:rPr>
          <w:rFonts w:ascii="Times New Roman" w:hAnsi="Times New Roman"/>
          <w:sz w:val="24"/>
          <w:szCs w:val="24"/>
        </w:rPr>
      </w:pPr>
    </w:p>
    <w:p w:rsidR="00DE5208" w:rsidRDefault="00C2192C">
      <w:pPr>
        <w:spacing w:line="240" w:lineRule="auto"/>
        <w:jc w:val="both"/>
        <w:rPr>
          <w:rFonts w:ascii="Times New Roman" w:hAnsi="Times New Roman"/>
          <w:sz w:val="24"/>
        </w:rPr>
      </w:pPr>
      <w:r>
        <w:rPr>
          <w:rFonts w:ascii="Times New Roman" w:hAnsi="Times New Roman"/>
          <w:sz w:val="24"/>
          <w:szCs w:val="24"/>
        </w:rPr>
        <w:t>Приложение:</w:t>
      </w:r>
    </w:p>
    <w:p w:rsidR="00DE5208" w:rsidRDefault="00C2192C">
      <w:pPr>
        <w:spacing w:line="240" w:lineRule="auto"/>
        <w:ind w:firstLine="567"/>
        <w:jc w:val="both"/>
        <w:rPr>
          <w:rFonts w:ascii="Times New Roman" w:hAnsi="Times New Roman"/>
        </w:rPr>
      </w:pPr>
      <w:r>
        <w:rPr>
          <w:rFonts w:ascii="Times New Roman" w:hAnsi="Times New Roman"/>
          <w:sz w:val="24"/>
          <w:szCs w:val="24"/>
        </w:rPr>
        <w:t>1. _________________на ____л. в _____экз.</w:t>
      </w:r>
    </w:p>
    <w:p w:rsidR="00DE5208" w:rsidRDefault="00C2192C">
      <w:pPr>
        <w:spacing w:line="240" w:lineRule="auto"/>
        <w:ind w:firstLine="567"/>
        <w:jc w:val="both"/>
        <w:rPr>
          <w:rFonts w:ascii="Times New Roman" w:hAnsi="Times New Roman"/>
        </w:rPr>
      </w:pPr>
      <w:r>
        <w:rPr>
          <w:rFonts w:ascii="Times New Roman" w:hAnsi="Times New Roman"/>
          <w:sz w:val="24"/>
          <w:szCs w:val="24"/>
        </w:rPr>
        <w:t>2. _________________на ____л. в _____экз.</w:t>
      </w:r>
    </w:p>
    <w:p w:rsidR="00DE5208" w:rsidRDefault="00C2192C">
      <w:pPr>
        <w:spacing w:line="240" w:lineRule="auto"/>
        <w:ind w:firstLine="567"/>
        <w:jc w:val="both"/>
        <w:rPr>
          <w:rFonts w:ascii="Times New Roman" w:hAnsi="Times New Roman"/>
        </w:rPr>
      </w:pPr>
      <w:r>
        <w:rPr>
          <w:rFonts w:ascii="Times New Roman" w:hAnsi="Times New Roman"/>
          <w:sz w:val="24"/>
          <w:szCs w:val="24"/>
        </w:rPr>
        <w:t>3. _________________на ____л. в _____экз.</w:t>
      </w:r>
    </w:p>
    <w:p w:rsidR="00DE5208" w:rsidRDefault="00C2192C">
      <w:pPr>
        <w:spacing w:line="240" w:lineRule="auto"/>
        <w:ind w:firstLine="567"/>
        <w:jc w:val="both"/>
        <w:rPr>
          <w:rFonts w:ascii="Times New Roman" w:hAnsi="Times New Roman"/>
          <w:sz w:val="24"/>
          <w:szCs w:val="24"/>
        </w:rPr>
      </w:pPr>
      <w:r>
        <w:rPr>
          <w:rFonts w:ascii="Times New Roman" w:hAnsi="Times New Roman"/>
          <w:sz w:val="24"/>
          <w:szCs w:val="24"/>
        </w:rPr>
        <w:t>4. _________________на ____л. в _____экз.</w:t>
      </w:r>
    </w:p>
    <w:p w:rsidR="00DE5208" w:rsidRDefault="00C2192C">
      <w:pPr>
        <w:spacing w:line="240" w:lineRule="auto"/>
        <w:ind w:firstLine="567"/>
        <w:jc w:val="both"/>
        <w:rPr>
          <w:rFonts w:ascii="Times New Roman" w:hAnsi="Times New Roman"/>
          <w:sz w:val="24"/>
          <w:szCs w:val="24"/>
        </w:rPr>
      </w:pPr>
      <w:r>
        <w:rPr>
          <w:rFonts w:ascii="Times New Roman" w:hAnsi="Times New Roman"/>
          <w:sz w:val="24"/>
          <w:szCs w:val="24"/>
        </w:rPr>
        <w:t>5. _________________на ____л. в _____экз.</w:t>
      </w:r>
    </w:p>
    <w:p w:rsidR="00DE5208" w:rsidRDefault="00C2192C">
      <w:pPr>
        <w:spacing w:line="240" w:lineRule="auto"/>
        <w:ind w:firstLine="567"/>
        <w:jc w:val="both"/>
        <w:rPr>
          <w:rFonts w:ascii="Times New Roman" w:hAnsi="Times New Roman"/>
          <w:sz w:val="24"/>
          <w:szCs w:val="24"/>
        </w:rPr>
      </w:pPr>
      <w:r>
        <w:rPr>
          <w:rFonts w:ascii="Times New Roman" w:hAnsi="Times New Roman"/>
          <w:sz w:val="24"/>
          <w:szCs w:val="24"/>
        </w:rPr>
        <w:t>6. _________________на ____л. в _____экз.</w:t>
      </w:r>
    </w:p>
    <w:p w:rsidR="00DE5208" w:rsidRDefault="00DE5208">
      <w:pPr>
        <w:spacing w:after="0"/>
        <w:jc w:val="right"/>
        <w:rPr>
          <w:szCs w:val="28"/>
        </w:rPr>
      </w:pPr>
    </w:p>
    <w:p w:rsidR="00DE5208" w:rsidRDefault="00DE5208">
      <w:pPr>
        <w:spacing w:after="0"/>
        <w:jc w:val="right"/>
        <w:rPr>
          <w:szCs w:val="28"/>
        </w:rPr>
      </w:pPr>
    </w:p>
    <w:p w:rsidR="00DE5208" w:rsidRDefault="00DE5208">
      <w:pPr>
        <w:spacing w:after="0"/>
        <w:jc w:val="right"/>
        <w:rPr>
          <w:szCs w:val="28"/>
        </w:rPr>
      </w:pPr>
    </w:p>
    <w:p w:rsidR="00DE5208" w:rsidRDefault="00C2192C">
      <w:pPr>
        <w:spacing w:after="0"/>
        <w:jc w:val="right"/>
        <w:rPr>
          <w:bCs/>
          <w:szCs w:val="28"/>
        </w:rPr>
      </w:pPr>
      <w:bookmarkStart w:id="1" w:name="sub_8300"/>
      <w:r>
        <w:rPr>
          <w:rFonts w:ascii="Times New Roman" w:hAnsi="Times New Roman"/>
          <w:bCs/>
          <w:color w:val="000000" w:themeColor="text1"/>
          <w:sz w:val="28"/>
          <w:szCs w:val="28"/>
        </w:rPr>
        <w:lastRenderedPageBreak/>
        <w:t>Приложение № 2</w:t>
      </w:r>
      <w:r>
        <w:rPr>
          <w:rFonts w:ascii="Times New Roman" w:hAnsi="Times New Roman"/>
          <w:bCs/>
          <w:color w:val="000000" w:themeColor="text1"/>
          <w:sz w:val="28"/>
          <w:szCs w:val="28"/>
        </w:rPr>
        <w:br/>
        <w:t xml:space="preserve">к </w:t>
      </w:r>
      <w:hyperlink w:anchor="sub_8000" w:tooltip="#sub_8000" w:history="1">
        <w:r>
          <w:rPr>
            <w:rStyle w:val="af7"/>
            <w:rFonts w:ascii="Times New Roman" w:hAnsi="Times New Roman"/>
            <w:color w:val="000000" w:themeColor="text1"/>
            <w:sz w:val="28"/>
            <w:szCs w:val="28"/>
            <w:u w:val="none"/>
          </w:rPr>
          <w:t>Правилам</w:t>
        </w:r>
      </w:hyperlink>
      <w:bookmarkEnd w:id="1"/>
    </w:p>
    <w:p w:rsidR="00DE5208" w:rsidRDefault="00DE5208">
      <w:pPr>
        <w:spacing w:after="0"/>
        <w:jc w:val="right"/>
        <w:rPr>
          <w:rFonts w:ascii="Times New Roman" w:hAnsi="Times New Roman"/>
          <w:sz w:val="28"/>
          <w:szCs w:val="28"/>
        </w:rPr>
      </w:pPr>
    </w:p>
    <w:p w:rsidR="00DE5208" w:rsidRDefault="00C2192C">
      <w:pPr>
        <w:spacing w:after="0"/>
        <w:jc w:val="right"/>
        <w:rPr>
          <w:rFonts w:ascii="Times New Roman" w:hAnsi="Times New Roman"/>
          <w:sz w:val="28"/>
          <w:szCs w:val="28"/>
        </w:rPr>
      </w:pPr>
      <w:r>
        <w:rPr>
          <w:rFonts w:ascii="Times New Roman" w:hAnsi="Times New Roman"/>
          <w:bCs/>
          <w:sz w:val="28"/>
          <w:szCs w:val="28"/>
        </w:rPr>
        <w:t xml:space="preserve">Форма </w:t>
      </w:r>
    </w:p>
    <w:p w:rsidR="00DE5208" w:rsidRDefault="00DE5208">
      <w:pPr>
        <w:spacing w:after="0"/>
        <w:jc w:val="right"/>
        <w:rPr>
          <w:rFonts w:ascii="Times New Roman" w:hAnsi="Times New Roman"/>
          <w:bCs/>
          <w:sz w:val="28"/>
          <w:szCs w:val="28"/>
        </w:rPr>
      </w:pPr>
    </w:p>
    <w:p w:rsidR="00DE5208" w:rsidRDefault="00C2192C">
      <w:pPr>
        <w:spacing w:after="0"/>
        <w:jc w:val="center"/>
        <w:rPr>
          <w:rFonts w:ascii="Times New Roman" w:hAnsi="Times New Roman"/>
          <w:sz w:val="28"/>
          <w:szCs w:val="28"/>
        </w:rPr>
      </w:pPr>
      <w:r>
        <w:rPr>
          <w:rFonts w:ascii="Times New Roman" w:hAnsi="Times New Roman"/>
          <w:bCs/>
          <w:sz w:val="28"/>
          <w:szCs w:val="28"/>
        </w:rPr>
        <w:t xml:space="preserve">Министерство спорта </w:t>
      </w:r>
      <w:r>
        <w:rPr>
          <w:rFonts w:ascii="Times New Roman" w:hAnsi="Times New Roman"/>
          <w:sz w:val="28"/>
          <w:szCs w:val="28"/>
        </w:rPr>
        <w:t>Мурманской области</w:t>
      </w:r>
    </w:p>
    <w:p w:rsidR="00DE5208" w:rsidRDefault="00DE5208">
      <w:pPr>
        <w:spacing w:after="0"/>
        <w:jc w:val="center"/>
        <w:rPr>
          <w:rFonts w:ascii="Times New Roman" w:hAnsi="Times New Roman"/>
          <w:sz w:val="28"/>
          <w:szCs w:val="28"/>
        </w:rPr>
      </w:pPr>
    </w:p>
    <w:p w:rsidR="00DE5208" w:rsidRDefault="00C2192C">
      <w:pPr>
        <w:spacing w:after="0"/>
        <w:jc w:val="center"/>
        <w:rPr>
          <w:rFonts w:ascii="Times New Roman" w:hAnsi="Times New Roman"/>
          <w:bCs/>
          <w:sz w:val="20"/>
          <w:szCs w:val="20"/>
        </w:rPr>
      </w:pPr>
      <w:r>
        <w:rPr>
          <w:rFonts w:ascii="Times New Roman" w:hAnsi="Times New Roman"/>
          <w:bCs/>
          <w:sz w:val="28"/>
          <w:szCs w:val="28"/>
        </w:rPr>
        <w:t xml:space="preserve">Заявка на финансирование </w:t>
      </w:r>
      <w:r>
        <w:rPr>
          <w:rFonts w:ascii="Times New Roman" w:hAnsi="Times New Roman"/>
          <w:bCs/>
          <w:sz w:val="28"/>
          <w:szCs w:val="28"/>
        </w:rPr>
        <w:br/>
        <w:t>______________________ 20___ г.</w:t>
      </w:r>
      <w:r>
        <w:rPr>
          <w:rFonts w:ascii="Times New Roman" w:hAnsi="Times New Roman"/>
          <w:b/>
          <w:bCs/>
          <w:sz w:val="28"/>
          <w:szCs w:val="28"/>
        </w:rPr>
        <w:br/>
      </w:r>
      <w:r>
        <w:rPr>
          <w:rFonts w:ascii="Times New Roman" w:hAnsi="Times New Roman"/>
          <w:bCs/>
          <w:sz w:val="20"/>
          <w:szCs w:val="20"/>
        </w:rPr>
        <w:t>(месяц)</w:t>
      </w:r>
    </w:p>
    <w:p w:rsidR="00DE5208" w:rsidRDefault="00DE5208">
      <w:pPr>
        <w:spacing w:after="0"/>
        <w:jc w:val="center"/>
        <w:rPr>
          <w:rFonts w:ascii="Times New Roman" w:hAnsi="Times New Roman"/>
          <w:sz w:val="28"/>
          <w:szCs w:val="28"/>
        </w:rPr>
      </w:pPr>
    </w:p>
    <w:p w:rsidR="00DE5208" w:rsidRDefault="00C2192C">
      <w:pPr>
        <w:spacing w:after="0"/>
        <w:jc w:val="both"/>
        <w:rPr>
          <w:rFonts w:ascii="Times New Roman" w:hAnsi="Times New Roman"/>
          <w:sz w:val="28"/>
          <w:szCs w:val="28"/>
        </w:rPr>
      </w:pPr>
      <w:r>
        <w:rPr>
          <w:rFonts w:ascii="Times New Roman" w:hAnsi="Times New Roman"/>
          <w:sz w:val="28"/>
          <w:szCs w:val="28"/>
        </w:rPr>
        <w:t>Наименование главного администратора: Министерство спорта Мурманской области</w:t>
      </w:r>
    </w:p>
    <w:p w:rsidR="00DE5208" w:rsidRDefault="00C2192C">
      <w:pPr>
        <w:spacing w:after="0"/>
        <w:rPr>
          <w:rFonts w:ascii="Times New Roman" w:hAnsi="Times New Roman"/>
          <w:sz w:val="28"/>
          <w:szCs w:val="28"/>
        </w:rPr>
      </w:pPr>
      <w:r>
        <w:rPr>
          <w:rFonts w:ascii="Times New Roman" w:hAnsi="Times New Roman"/>
          <w:sz w:val="28"/>
          <w:szCs w:val="28"/>
        </w:rPr>
        <w:t>Наименование главного распорядителя</w:t>
      </w:r>
      <w:r>
        <w:rPr>
          <w:rFonts w:ascii="Times New Roman" w:hAnsi="Times New Roman"/>
          <w:sz w:val="18"/>
          <w:szCs w:val="18"/>
        </w:rPr>
        <w:t xml:space="preserve"> </w:t>
      </w:r>
      <w:r>
        <w:rPr>
          <w:rFonts w:ascii="Times New Roman" w:hAnsi="Times New Roman"/>
          <w:sz w:val="28"/>
          <w:szCs w:val="28"/>
        </w:rPr>
        <w:t>__________________________________________________________________</w:t>
      </w:r>
    </w:p>
    <w:p w:rsidR="00DE5208" w:rsidRDefault="00DE5208">
      <w:pPr>
        <w:spacing w:after="0"/>
        <w:jc w:val="both"/>
        <w:rPr>
          <w:rFonts w:ascii="Times New Roman" w:hAnsi="Times New Roman"/>
          <w:sz w:val="28"/>
          <w:szCs w:val="28"/>
        </w:rPr>
      </w:pPr>
    </w:p>
    <w:p w:rsidR="00DE5208" w:rsidRDefault="00C2192C">
      <w:pPr>
        <w:spacing w:after="0"/>
        <w:jc w:val="both"/>
        <w:rPr>
          <w:rFonts w:ascii="Times New Roman" w:hAnsi="Times New Roman"/>
          <w:sz w:val="28"/>
          <w:szCs w:val="28"/>
        </w:rPr>
      </w:pPr>
      <w:r>
        <w:rPr>
          <w:rFonts w:ascii="Times New Roman" w:hAnsi="Times New Roman"/>
          <w:sz w:val="28"/>
          <w:szCs w:val="28"/>
        </w:rPr>
        <w:t>Лицевой счет получателя</w:t>
      </w:r>
      <w:r>
        <w:rPr>
          <w:rFonts w:ascii="Times New Roman" w:hAnsi="Times New Roman"/>
          <w:sz w:val="18"/>
          <w:szCs w:val="18"/>
        </w:rPr>
        <w:t xml:space="preserve"> </w:t>
      </w:r>
      <w:r>
        <w:rPr>
          <w:rFonts w:ascii="Times New Roman" w:hAnsi="Times New Roman"/>
          <w:sz w:val="28"/>
          <w:szCs w:val="28"/>
        </w:rPr>
        <w:t>____________________________________________</w:t>
      </w:r>
    </w:p>
    <w:p w:rsidR="00DE5208" w:rsidRDefault="00DE5208">
      <w:pPr>
        <w:spacing w:after="0"/>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015"/>
        <w:gridCol w:w="1418"/>
        <w:gridCol w:w="1134"/>
        <w:gridCol w:w="1276"/>
        <w:gridCol w:w="992"/>
        <w:gridCol w:w="709"/>
        <w:gridCol w:w="1134"/>
      </w:tblGrid>
      <w:tr w:rsidR="00DE5208">
        <w:tc>
          <w:tcPr>
            <w:tcW w:w="1820" w:type="dxa"/>
            <w:vMerge w:val="restart"/>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Наименование субсидии</w:t>
            </w:r>
          </w:p>
        </w:tc>
        <w:tc>
          <w:tcPr>
            <w:tcW w:w="4843" w:type="dxa"/>
            <w:gridSpan w:val="4"/>
          </w:tcPr>
          <w:p w:rsidR="00DE5208" w:rsidRDefault="008C2326">
            <w:pPr>
              <w:spacing w:after="0"/>
              <w:jc w:val="both"/>
              <w:rPr>
                <w:rFonts w:ascii="Times New Roman" w:hAnsi="Times New Roman"/>
                <w:color w:val="000000"/>
                <w:sz w:val="24"/>
                <w:szCs w:val="24"/>
              </w:rPr>
            </w:pPr>
            <w:hyperlink r:id="rId28" w:tooltip="http://internet.garant.ru/document/redirect/72275618/1000" w:history="1">
              <w:r w:rsidR="00C2192C">
                <w:rPr>
                  <w:rStyle w:val="af7"/>
                  <w:rFonts w:ascii="Times New Roman" w:hAnsi="Times New Roman"/>
                  <w:color w:val="000000" w:themeColor="text1"/>
                  <w:sz w:val="24"/>
                  <w:szCs w:val="24"/>
                  <w:u w:val="none"/>
                </w:rPr>
                <w:t>Бюджетная классификация</w:t>
              </w:r>
            </w:hyperlink>
            <w:r w:rsidR="00C2192C">
              <w:rPr>
                <w:rFonts w:ascii="Times New Roman" w:hAnsi="Times New Roman"/>
                <w:color w:val="000000" w:themeColor="text1"/>
                <w:sz w:val="24"/>
                <w:szCs w:val="24"/>
              </w:rPr>
              <w:t xml:space="preserve"> получателя</w:t>
            </w:r>
          </w:p>
        </w:tc>
        <w:tc>
          <w:tcPr>
            <w:tcW w:w="992" w:type="dxa"/>
            <w:vMerge w:val="restart"/>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Сумма (руб.)</w:t>
            </w:r>
          </w:p>
        </w:tc>
        <w:tc>
          <w:tcPr>
            <w:tcW w:w="709" w:type="dxa"/>
            <w:vMerge w:val="restart"/>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Дата</w:t>
            </w:r>
          </w:p>
        </w:tc>
        <w:tc>
          <w:tcPr>
            <w:tcW w:w="1134" w:type="dxa"/>
            <w:vMerge w:val="restart"/>
          </w:tcPr>
          <w:p w:rsidR="00DE5208" w:rsidRDefault="00C2192C">
            <w:pPr>
              <w:spacing w:after="0"/>
              <w:jc w:val="both"/>
              <w:rPr>
                <w:rFonts w:ascii="Times New Roman" w:hAnsi="Times New Roman"/>
                <w:color w:val="000000"/>
                <w:sz w:val="24"/>
                <w:szCs w:val="24"/>
              </w:rPr>
            </w:pPr>
            <w:proofErr w:type="spellStart"/>
            <w:proofErr w:type="gramStart"/>
            <w:r>
              <w:rPr>
                <w:rFonts w:ascii="Times New Roman" w:hAnsi="Times New Roman"/>
                <w:color w:val="000000" w:themeColor="text1"/>
                <w:sz w:val="24"/>
                <w:szCs w:val="24"/>
              </w:rPr>
              <w:t>Примеча-ние</w:t>
            </w:r>
            <w:proofErr w:type="spellEnd"/>
            <w:proofErr w:type="gramEnd"/>
          </w:p>
        </w:tc>
      </w:tr>
      <w:tr w:rsidR="00DE5208">
        <w:tc>
          <w:tcPr>
            <w:tcW w:w="1820" w:type="dxa"/>
            <w:vMerge/>
          </w:tcPr>
          <w:p w:rsidR="00DE5208" w:rsidRDefault="00DE5208">
            <w:pPr>
              <w:spacing w:after="0"/>
              <w:jc w:val="both"/>
              <w:rPr>
                <w:rFonts w:ascii="Times New Roman" w:hAnsi="Times New Roman"/>
                <w:sz w:val="24"/>
                <w:szCs w:val="24"/>
              </w:rPr>
            </w:pPr>
          </w:p>
        </w:tc>
        <w:tc>
          <w:tcPr>
            <w:tcW w:w="1015" w:type="dxa"/>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Раздел</w:t>
            </w:r>
          </w:p>
        </w:tc>
        <w:tc>
          <w:tcPr>
            <w:tcW w:w="1418" w:type="dxa"/>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Подраздел</w:t>
            </w:r>
          </w:p>
        </w:tc>
        <w:tc>
          <w:tcPr>
            <w:tcW w:w="1134" w:type="dxa"/>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Целевая статья</w:t>
            </w:r>
          </w:p>
        </w:tc>
        <w:tc>
          <w:tcPr>
            <w:tcW w:w="1276" w:type="dxa"/>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Вид расходов</w:t>
            </w:r>
          </w:p>
        </w:tc>
        <w:tc>
          <w:tcPr>
            <w:tcW w:w="992" w:type="dxa"/>
            <w:vMerge/>
          </w:tcPr>
          <w:p w:rsidR="00DE5208" w:rsidRDefault="00DE5208">
            <w:pPr>
              <w:spacing w:after="0"/>
              <w:jc w:val="both"/>
              <w:rPr>
                <w:rFonts w:ascii="Times New Roman" w:hAnsi="Times New Roman"/>
                <w:sz w:val="24"/>
                <w:szCs w:val="24"/>
              </w:rPr>
            </w:pPr>
          </w:p>
        </w:tc>
        <w:tc>
          <w:tcPr>
            <w:tcW w:w="709" w:type="dxa"/>
            <w:vMerge/>
          </w:tcPr>
          <w:p w:rsidR="00DE5208" w:rsidRDefault="00DE5208">
            <w:pPr>
              <w:spacing w:after="0"/>
              <w:jc w:val="both"/>
              <w:rPr>
                <w:rFonts w:ascii="Times New Roman" w:hAnsi="Times New Roman"/>
                <w:sz w:val="24"/>
                <w:szCs w:val="24"/>
              </w:rPr>
            </w:pPr>
          </w:p>
        </w:tc>
        <w:tc>
          <w:tcPr>
            <w:tcW w:w="1134" w:type="dxa"/>
            <w:vMerge/>
          </w:tcPr>
          <w:p w:rsidR="00DE5208" w:rsidRDefault="00DE5208">
            <w:pPr>
              <w:spacing w:after="0"/>
              <w:jc w:val="both"/>
              <w:rPr>
                <w:rFonts w:ascii="Times New Roman" w:hAnsi="Times New Roman"/>
                <w:sz w:val="24"/>
                <w:szCs w:val="24"/>
              </w:rPr>
            </w:pPr>
          </w:p>
        </w:tc>
      </w:tr>
      <w:tr w:rsidR="00DE5208">
        <w:tc>
          <w:tcPr>
            <w:tcW w:w="1820"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1</w:t>
            </w:r>
          </w:p>
        </w:tc>
        <w:tc>
          <w:tcPr>
            <w:tcW w:w="1015"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2</w:t>
            </w:r>
          </w:p>
        </w:tc>
        <w:tc>
          <w:tcPr>
            <w:tcW w:w="1418"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3</w:t>
            </w:r>
          </w:p>
        </w:tc>
        <w:tc>
          <w:tcPr>
            <w:tcW w:w="1134"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4</w:t>
            </w:r>
          </w:p>
        </w:tc>
        <w:tc>
          <w:tcPr>
            <w:tcW w:w="1276"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5</w:t>
            </w:r>
          </w:p>
        </w:tc>
        <w:tc>
          <w:tcPr>
            <w:tcW w:w="992"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6</w:t>
            </w:r>
          </w:p>
        </w:tc>
        <w:tc>
          <w:tcPr>
            <w:tcW w:w="709"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7</w:t>
            </w:r>
          </w:p>
        </w:tc>
        <w:tc>
          <w:tcPr>
            <w:tcW w:w="1134"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8</w:t>
            </w:r>
          </w:p>
        </w:tc>
      </w:tr>
      <w:tr w:rsidR="00DE5208">
        <w:tc>
          <w:tcPr>
            <w:tcW w:w="1820" w:type="dxa"/>
          </w:tcPr>
          <w:p w:rsidR="00DE5208" w:rsidRDefault="00DE5208">
            <w:pPr>
              <w:spacing w:after="0"/>
              <w:jc w:val="both"/>
              <w:rPr>
                <w:rFonts w:ascii="Times New Roman" w:hAnsi="Times New Roman"/>
                <w:color w:val="000000"/>
                <w:sz w:val="24"/>
                <w:szCs w:val="24"/>
              </w:rPr>
            </w:pPr>
          </w:p>
        </w:tc>
        <w:tc>
          <w:tcPr>
            <w:tcW w:w="1015" w:type="dxa"/>
          </w:tcPr>
          <w:p w:rsidR="00DE5208" w:rsidRDefault="00DE5208">
            <w:pPr>
              <w:spacing w:after="0"/>
              <w:jc w:val="both"/>
              <w:rPr>
                <w:rFonts w:ascii="Times New Roman" w:hAnsi="Times New Roman"/>
                <w:color w:val="000000"/>
                <w:sz w:val="24"/>
                <w:szCs w:val="24"/>
              </w:rPr>
            </w:pPr>
          </w:p>
        </w:tc>
        <w:tc>
          <w:tcPr>
            <w:tcW w:w="1418" w:type="dxa"/>
          </w:tcPr>
          <w:p w:rsidR="00DE5208" w:rsidRDefault="00DE5208">
            <w:pPr>
              <w:spacing w:after="0"/>
              <w:jc w:val="both"/>
              <w:rPr>
                <w:rFonts w:ascii="Times New Roman" w:hAnsi="Times New Roman"/>
                <w:color w:val="000000"/>
                <w:sz w:val="24"/>
                <w:szCs w:val="24"/>
              </w:rPr>
            </w:pPr>
          </w:p>
        </w:tc>
        <w:tc>
          <w:tcPr>
            <w:tcW w:w="1134" w:type="dxa"/>
          </w:tcPr>
          <w:p w:rsidR="00DE5208" w:rsidRDefault="00DE5208">
            <w:pPr>
              <w:spacing w:after="0"/>
              <w:jc w:val="both"/>
              <w:rPr>
                <w:rFonts w:ascii="Times New Roman" w:hAnsi="Times New Roman"/>
                <w:color w:val="000000"/>
                <w:sz w:val="24"/>
                <w:szCs w:val="24"/>
              </w:rPr>
            </w:pPr>
          </w:p>
        </w:tc>
        <w:tc>
          <w:tcPr>
            <w:tcW w:w="1276" w:type="dxa"/>
          </w:tcPr>
          <w:p w:rsidR="00DE5208" w:rsidRDefault="00DE5208">
            <w:pPr>
              <w:spacing w:after="0"/>
              <w:jc w:val="both"/>
              <w:rPr>
                <w:rFonts w:ascii="Times New Roman" w:hAnsi="Times New Roman"/>
                <w:color w:val="000000"/>
                <w:sz w:val="24"/>
                <w:szCs w:val="24"/>
              </w:rPr>
            </w:pPr>
          </w:p>
        </w:tc>
        <w:tc>
          <w:tcPr>
            <w:tcW w:w="992" w:type="dxa"/>
          </w:tcPr>
          <w:p w:rsidR="00DE5208" w:rsidRDefault="00DE5208">
            <w:pPr>
              <w:spacing w:after="0"/>
              <w:jc w:val="both"/>
              <w:rPr>
                <w:rFonts w:ascii="Times New Roman" w:hAnsi="Times New Roman"/>
                <w:color w:val="000000"/>
                <w:sz w:val="24"/>
                <w:szCs w:val="24"/>
              </w:rPr>
            </w:pPr>
          </w:p>
        </w:tc>
        <w:tc>
          <w:tcPr>
            <w:tcW w:w="709" w:type="dxa"/>
          </w:tcPr>
          <w:p w:rsidR="00DE5208" w:rsidRDefault="00DE5208">
            <w:pPr>
              <w:spacing w:after="0"/>
              <w:jc w:val="both"/>
              <w:rPr>
                <w:rFonts w:ascii="Times New Roman" w:hAnsi="Times New Roman"/>
                <w:color w:val="000000"/>
                <w:sz w:val="24"/>
                <w:szCs w:val="24"/>
              </w:rPr>
            </w:pPr>
          </w:p>
        </w:tc>
        <w:tc>
          <w:tcPr>
            <w:tcW w:w="1134" w:type="dxa"/>
          </w:tcPr>
          <w:p w:rsidR="00DE5208" w:rsidRDefault="00DE5208">
            <w:pPr>
              <w:spacing w:after="0"/>
              <w:jc w:val="both"/>
              <w:rPr>
                <w:rFonts w:ascii="Times New Roman" w:hAnsi="Times New Roman"/>
                <w:color w:val="000000"/>
                <w:sz w:val="24"/>
                <w:szCs w:val="24"/>
              </w:rPr>
            </w:pPr>
          </w:p>
        </w:tc>
      </w:tr>
      <w:tr w:rsidR="00DE5208">
        <w:tc>
          <w:tcPr>
            <w:tcW w:w="1820" w:type="dxa"/>
          </w:tcPr>
          <w:p w:rsidR="00DE5208" w:rsidRDefault="00C2192C">
            <w:pPr>
              <w:spacing w:after="0"/>
              <w:jc w:val="both"/>
              <w:rPr>
                <w:rFonts w:ascii="Times New Roman" w:hAnsi="Times New Roman"/>
                <w:color w:val="000000"/>
                <w:sz w:val="24"/>
                <w:szCs w:val="24"/>
              </w:rPr>
            </w:pPr>
            <w:r>
              <w:rPr>
                <w:rFonts w:ascii="Times New Roman" w:hAnsi="Times New Roman"/>
                <w:color w:val="000000" w:themeColor="text1"/>
                <w:sz w:val="24"/>
                <w:szCs w:val="24"/>
              </w:rPr>
              <w:t>Итого за месяц:</w:t>
            </w:r>
          </w:p>
        </w:tc>
        <w:tc>
          <w:tcPr>
            <w:tcW w:w="1015"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x</w:t>
            </w:r>
          </w:p>
        </w:tc>
        <w:tc>
          <w:tcPr>
            <w:tcW w:w="1418"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x</w:t>
            </w:r>
          </w:p>
        </w:tc>
        <w:tc>
          <w:tcPr>
            <w:tcW w:w="1134"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x</w:t>
            </w:r>
          </w:p>
        </w:tc>
        <w:tc>
          <w:tcPr>
            <w:tcW w:w="1276"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x</w:t>
            </w:r>
          </w:p>
        </w:tc>
        <w:tc>
          <w:tcPr>
            <w:tcW w:w="992" w:type="dxa"/>
          </w:tcPr>
          <w:p w:rsidR="00DE5208" w:rsidRDefault="00DE5208">
            <w:pPr>
              <w:spacing w:after="0"/>
              <w:jc w:val="center"/>
              <w:rPr>
                <w:rFonts w:ascii="Times New Roman" w:hAnsi="Times New Roman"/>
                <w:color w:val="000000"/>
                <w:sz w:val="24"/>
                <w:szCs w:val="24"/>
              </w:rPr>
            </w:pPr>
          </w:p>
        </w:tc>
        <w:tc>
          <w:tcPr>
            <w:tcW w:w="709"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x</w:t>
            </w:r>
          </w:p>
        </w:tc>
        <w:tc>
          <w:tcPr>
            <w:tcW w:w="1134" w:type="dxa"/>
          </w:tcPr>
          <w:p w:rsidR="00DE5208" w:rsidRDefault="00C2192C">
            <w:pPr>
              <w:spacing w:after="0"/>
              <w:jc w:val="center"/>
              <w:rPr>
                <w:rFonts w:ascii="Times New Roman" w:hAnsi="Times New Roman"/>
                <w:color w:val="000000"/>
                <w:sz w:val="24"/>
                <w:szCs w:val="24"/>
              </w:rPr>
            </w:pPr>
            <w:r>
              <w:rPr>
                <w:rFonts w:ascii="Times New Roman" w:hAnsi="Times New Roman"/>
                <w:color w:val="000000" w:themeColor="text1"/>
                <w:sz w:val="24"/>
                <w:szCs w:val="24"/>
              </w:rPr>
              <w:t>x</w:t>
            </w:r>
          </w:p>
        </w:tc>
      </w:tr>
    </w:tbl>
    <w:p w:rsidR="00DE5208" w:rsidRDefault="00DE5208">
      <w:pPr>
        <w:spacing w:after="0"/>
        <w:jc w:val="both"/>
        <w:rPr>
          <w:rFonts w:ascii="Times New Roman" w:hAnsi="Times New Roman"/>
          <w:color w:val="000000"/>
          <w:sz w:val="28"/>
          <w:szCs w:val="28"/>
        </w:rPr>
      </w:pPr>
    </w:p>
    <w:p w:rsidR="00DE5208" w:rsidRDefault="00C2192C">
      <w:pPr>
        <w:spacing w:after="0"/>
        <w:jc w:val="both"/>
        <w:rPr>
          <w:rFonts w:ascii="Times New Roman" w:hAnsi="Times New Roman"/>
          <w:color w:val="000000"/>
          <w:sz w:val="28"/>
          <w:szCs w:val="28"/>
        </w:rPr>
      </w:pPr>
      <w:r>
        <w:rPr>
          <w:rFonts w:ascii="Times New Roman" w:hAnsi="Times New Roman"/>
          <w:color w:val="000000" w:themeColor="text1"/>
          <w:sz w:val="28"/>
          <w:szCs w:val="28"/>
        </w:rPr>
        <w:t xml:space="preserve">Приложение: копии договоров (контрактов), счетов, </w:t>
      </w:r>
      <w:hyperlink r:id="rId29" w:tooltip="http://internet.garant.ru/document/redirect/180026/4012" w:history="1">
        <w:r>
          <w:rPr>
            <w:rStyle w:val="af7"/>
            <w:rFonts w:ascii="Times New Roman" w:hAnsi="Times New Roman"/>
            <w:color w:val="000000" w:themeColor="text1"/>
            <w:sz w:val="28"/>
            <w:szCs w:val="28"/>
            <w:u w:val="none"/>
          </w:rPr>
          <w:t>товарных накладных</w:t>
        </w:r>
      </w:hyperlink>
      <w:r>
        <w:rPr>
          <w:rFonts w:ascii="Times New Roman" w:hAnsi="Times New Roman"/>
          <w:color w:val="000000" w:themeColor="text1"/>
          <w:sz w:val="28"/>
          <w:szCs w:val="28"/>
        </w:rPr>
        <w:t>.</w:t>
      </w:r>
    </w:p>
    <w:p w:rsidR="00DE5208" w:rsidRDefault="00DE5208">
      <w:pPr>
        <w:spacing w:after="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0"/>
        <w:gridCol w:w="5660"/>
      </w:tblGrid>
      <w:tr w:rsidR="00DE5208">
        <w:tc>
          <w:tcPr>
            <w:tcW w:w="3400" w:type="dxa"/>
            <w:tcBorders>
              <w:top w:val="none" w:sz="4" w:space="0" w:color="000000"/>
              <w:left w:val="none" w:sz="4" w:space="0" w:color="000000"/>
              <w:bottom w:val="none" w:sz="4" w:space="0" w:color="000000"/>
              <w:right w:val="none" w:sz="4" w:space="0" w:color="000000"/>
            </w:tcBorders>
          </w:tcPr>
          <w:p w:rsidR="00DE5208" w:rsidRDefault="00C2192C">
            <w:pPr>
              <w:spacing w:after="0"/>
              <w:jc w:val="both"/>
              <w:rPr>
                <w:rFonts w:ascii="Times New Roman" w:hAnsi="Times New Roman"/>
                <w:sz w:val="28"/>
                <w:szCs w:val="28"/>
              </w:rPr>
            </w:pPr>
            <w:r>
              <w:rPr>
                <w:rFonts w:ascii="Times New Roman" w:hAnsi="Times New Roman"/>
                <w:sz w:val="28"/>
                <w:szCs w:val="28"/>
              </w:rPr>
              <w:t>Дата составления:</w:t>
            </w:r>
          </w:p>
        </w:tc>
        <w:tc>
          <w:tcPr>
            <w:tcW w:w="5660" w:type="dxa"/>
            <w:tcBorders>
              <w:top w:val="none" w:sz="4" w:space="0" w:color="000000"/>
              <w:left w:val="none" w:sz="4" w:space="0" w:color="000000"/>
              <w:bottom w:val="none" w:sz="4" w:space="0" w:color="000000"/>
              <w:right w:val="none" w:sz="4" w:space="0" w:color="000000"/>
            </w:tcBorders>
          </w:tcPr>
          <w:p w:rsidR="00DE5208" w:rsidRDefault="00C2192C">
            <w:pPr>
              <w:spacing w:after="0"/>
              <w:jc w:val="both"/>
              <w:rPr>
                <w:rFonts w:ascii="Times New Roman" w:hAnsi="Times New Roman"/>
                <w:sz w:val="28"/>
                <w:szCs w:val="28"/>
              </w:rPr>
            </w:pPr>
            <w:r>
              <w:rPr>
                <w:rFonts w:ascii="Times New Roman" w:hAnsi="Times New Roman"/>
                <w:sz w:val="28"/>
                <w:szCs w:val="28"/>
              </w:rPr>
              <w:t>____ _____________ 20___ г.</w:t>
            </w:r>
          </w:p>
        </w:tc>
      </w:tr>
      <w:tr w:rsidR="00DE5208">
        <w:tc>
          <w:tcPr>
            <w:tcW w:w="3400" w:type="dxa"/>
            <w:tcBorders>
              <w:top w:val="none" w:sz="4" w:space="0" w:color="000000"/>
              <w:left w:val="none" w:sz="4" w:space="0" w:color="000000"/>
              <w:bottom w:val="none" w:sz="4" w:space="0" w:color="000000"/>
              <w:right w:val="none" w:sz="4" w:space="0" w:color="000000"/>
            </w:tcBorders>
          </w:tcPr>
          <w:p w:rsidR="00DE5208" w:rsidRDefault="00C2192C">
            <w:pPr>
              <w:spacing w:after="0"/>
              <w:jc w:val="both"/>
              <w:rPr>
                <w:rFonts w:ascii="Times New Roman" w:hAnsi="Times New Roman"/>
                <w:sz w:val="28"/>
                <w:szCs w:val="28"/>
              </w:rPr>
            </w:pPr>
            <w:r>
              <w:rPr>
                <w:rFonts w:ascii="Times New Roman" w:hAnsi="Times New Roman"/>
                <w:sz w:val="28"/>
                <w:szCs w:val="28"/>
              </w:rPr>
              <w:t>Руководитель</w:t>
            </w:r>
          </w:p>
        </w:tc>
        <w:tc>
          <w:tcPr>
            <w:tcW w:w="5660" w:type="dxa"/>
            <w:tcBorders>
              <w:top w:val="none" w:sz="4" w:space="0" w:color="000000"/>
              <w:left w:val="none" w:sz="4" w:space="0" w:color="000000"/>
              <w:bottom w:val="none" w:sz="4" w:space="0" w:color="000000"/>
              <w:right w:val="none" w:sz="4" w:space="0" w:color="000000"/>
            </w:tcBorders>
          </w:tcPr>
          <w:p w:rsidR="00DE5208" w:rsidRDefault="00C2192C">
            <w:pPr>
              <w:spacing w:after="0"/>
              <w:jc w:val="both"/>
              <w:rPr>
                <w:rFonts w:ascii="Times New Roman" w:hAnsi="Times New Roman"/>
                <w:sz w:val="28"/>
                <w:szCs w:val="28"/>
              </w:rPr>
            </w:pPr>
            <w:r>
              <w:rPr>
                <w:rFonts w:ascii="Times New Roman" w:hAnsi="Times New Roman"/>
                <w:sz w:val="28"/>
                <w:szCs w:val="28"/>
              </w:rPr>
              <w:t>_____________________________________</w:t>
            </w:r>
          </w:p>
          <w:p w:rsidR="00DE5208" w:rsidRDefault="00C2192C">
            <w:pPr>
              <w:spacing w:after="0"/>
              <w:jc w:val="both"/>
              <w:rPr>
                <w:rFonts w:ascii="Times New Roman" w:hAnsi="Times New Roman"/>
                <w:sz w:val="20"/>
                <w:szCs w:val="20"/>
              </w:rPr>
            </w:pPr>
            <w:r>
              <w:rPr>
                <w:rFonts w:ascii="Times New Roman" w:hAnsi="Times New Roman"/>
                <w:sz w:val="20"/>
                <w:szCs w:val="20"/>
              </w:rPr>
              <w:t>(должность, фамилия, имя, отчество, контактный телефон)</w:t>
            </w:r>
          </w:p>
        </w:tc>
      </w:tr>
      <w:tr w:rsidR="00DE5208">
        <w:tc>
          <w:tcPr>
            <w:tcW w:w="3400" w:type="dxa"/>
            <w:tcBorders>
              <w:top w:val="none" w:sz="4" w:space="0" w:color="000000"/>
              <w:left w:val="none" w:sz="4" w:space="0" w:color="000000"/>
              <w:bottom w:val="none" w:sz="4" w:space="0" w:color="000000"/>
              <w:right w:val="none" w:sz="4" w:space="0" w:color="000000"/>
            </w:tcBorders>
          </w:tcPr>
          <w:p w:rsidR="00DE5208" w:rsidRDefault="00C2192C">
            <w:pPr>
              <w:spacing w:after="0"/>
              <w:jc w:val="both"/>
              <w:rPr>
                <w:rFonts w:ascii="Times New Roman" w:hAnsi="Times New Roman"/>
                <w:sz w:val="28"/>
                <w:szCs w:val="28"/>
              </w:rPr>
            </w:pPr>
            <w:r>
              <w:rPr>
                <w:rFonts w:ascii="Times New Roman" w:hAnsi="Times New Roman"/>
                <w:sz w:val="28"/>
                <w:szCs w:val="28"/>
              </w:rPr>
              <w:t>Исполнитель</w:t>
            </w:r>
          </w:p>
        </w:tc>
        <w:tc>
          <w:tcPr>
            <w:tcW w:w="5660" w:type="dxa"/>
            <w:tcBorders>
              <w:top w:val="none" w:sz="4" w:space="0" w:color="000000"/>
              <w:left w:val="none" w:sz="4" w:space="0" w:color="000000"/>
              <w:bottom w:val="none" w:sz="4" w:space="0" w:color="000000"/>
              <w:right w:val="none" w:sz="4" w:space="0" w:color="000000"/>
            </w:tcBorders>
          </w:tcPr>
          <w:p w:rsidR="00DE5208" w:rsidRDefault="00C2192C">
            <w:pPr>
              <w:spacing w:after="0"/>
              <w:jc w:val="both"/>
              <w:rPr>
                <w:rFonts w:ascii="Times New Roman" w:hAnsi="Times New Roman"/>
                <w:sz w:val="20"/>
                <w:szCs w:val="20"/>
              </w:rPr>
            </w:pPr>
            <w:r>
              <w:rPr>
                <w:rFonts w:ascii="Times New Roman" w:hAnsi="Times New Roman"/>
                <w:sz w:val="20"/>
                <w:szCs w:val="20"/>
              </w:rPr>
              <w:t>__________________________________________________</w:t>
            </w:r>
          </w:p>
          <w:p w:rsidR="00DE5208" w:rsidRDefault="00C2192C">
            <w:pPr>
              <w:spacing w:after="0"/>
              <w:jc w:val="both"/>
              <w:rPr>
                <w:rFonts w:ascii="Times New Roman" w:hAnsi="Times New Roman"/>
                <w:sz w:val="20"/>
                <w:szCs w:val="20"/>
              </w:rPr>
            </w:pPr>
            <w:r>
              <w:rPr>
                <w:rFonts w:ascii="Times New Roman" w:hAnsi="Times New Roman"/>
                <w:sz w:val="20"/>
                <w:szCs w:val="20"/>
              </w:rPr>
              <w:t>(должность, фамилия, имя, отчество, контактный телефон)»</w:t>
            </w:r>
          </w:p>
        </w:tc>
      </w:tr>
    </w:tbl>
    <w:p w:rsidR="00DE5208" w:rsidRDefault="00DE5208">
      <w:pPr>
        <w:spacing w:after="0" w:line="240" w:lineRule="auto"/>
        <w:rPr>
          <w:sz w:val="28"/>
          <w:szCs w:val="28"/>
          <w:lang w:eastAsia="ru-RU"/>
        </w:rPr>
      </w:pPr>
    </w:p>
    <w:p w:rsidR="00DE5208" w:rsidRDefault="00C2192C">
      <w:pPr>
        <w:spacing w:after="0" w:line="240" w:lineRule="auto"/>
        <w:jc w:val="center"/>
        <w:rPr>
          <w:sz w:val="28"/>
          <w:szCs w:val="28"/>
          <w:lang w:eastAsia="ru-RU"/>
        </w:rPr>
      </w:pPr>
      <w:r>
        <w:rPr>
          <w:sz w:val="28"/>
          <w:szCs w:val="28"/>
          <w:lang w:eastAsia="ru-RU"/>
        </w:rPr>
        <w:t>_________________________</w:t>
      </w:r>
    </w:p>
    <w:p w:rsidR="00DE5208" w:rsidRDefault="00DE5208">
      <w:pPr>
        <w:spacing w:after="0" w:line="240" w:lineRule="auto"/>
        <w:ind w:firstLine="567"/>
        <w:jc w:val="both"/>
        <w:rPr>
          <w:sz w:val="28"/>
          <w:szCs w:val="28"/>
          <w:lang w:eastAsia="ru-RU"/>
        </w:rPr>
      </w:pPr>
    </w:p>
    <w:p w:rsidR="00DE5208" w:rsidRDefault="00DE5208"/>
    <w:sectPr w:rsidR="00DE5208">
      <w:headerReference w:type="default" r:id="rId30"/>
      <w:head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326" w:rsidRDefault="008C2326">
      <w:pPr>
        <w:spacing w:after="0" w:line="240" w:lineRule="auto"/>
      </w:pPr>
      <w:r>
        <w:separator/>
      </w:r>
    </w:p>
  </w:endnote>
  <w:endnote w:type="continuationSeparator" w:id="0">
    <w:p w:rsidR="008C2326" w:rsidRDefault="008C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326" w:rsidRDefault="008C2326">
      <w:pPr>
        <w:spacing w:after="0" w:line="240" w:lineRule="auto"/>
      </w:pPr>
      <w:r>
        <w:separator/>
      </w:r>
    </w:p>
  </w:footnote>
  <w:footnote w:type="continuationSeparator" w:id="0">
    <w:p w:rsidR="008C2326" w:rsidRDefault="008C2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08" w:rsidRDefault="00C2192C">
    <w:pPr>
      <w:pStyle w:val="af8"/>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7A7B2C">
      <w:rPr>
        <w:rFonts w:ascii="Times New Roman" w:hAnsi="Times New Roman"/>
        <w:noProof/>
        <w:sz w:val="28"/>
        <w:szCs w:val="28"/>
      </w:rPr>
      <w:t>6</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08" w:rsidRDefault="00C2192C">
    <w:pPr>
      <w:pStyle w:val="af8"/>
      <w:jc w:val="center"/>
      <w:rPr>
        <w:rFonts w:ascii="Times New Roman" w:hAnsi="Times New Roman"/>
        <w:sz w:val="28"/>
        <w:szCs w:val="28"/>
      </w:rPr>
    </w:pPr>
    <w:r>
      <w:rPr>
        <w:rFonts w:ascii="Times New Roman" w:hAnsi="Times New Roman"/>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08"/>
    <w:rsid w:val="007A7B2C"/>
    <w:rsid w:val="008C2326"/>
    <w:rsid w:val="00C2192C"/>
    <w:rsid w:val="00DE5208"/>
    <w:rsid w:val="00E8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2538B-F63F-4974-99F7-28791F4C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styleId="af7">
    <w:name w:val="Hyperlink"/>
    <w:basedOn w:val="a0"/>
    <w:uiPriority w:val="99"/>
    <w:semiHidden/>
    <w:unhideWhenUsed/>
    <w:rPr>
      <w:color w:val="0000FF"/>
      <w:u w:val="single"/>
    </w:rPr>
  </w:style>
  <w:style w:type="paragraph" w:styleId="af8">
    <w:name w:val="header"/>
    <w:basedOn w:val="a"/>
    <w:link w:val="af9"/>
    <w:uiPriority w:val="99"/>
    <w:unhideWhenUsed/>
    <w:pPr>
      <w:tabs>
        <w:tab w:val="center" w:pos="4677"/>
        <w:tab w:val="right" w:pos="9355"/>
      </w:tabs>
      <w:spacing w:after="200" w:line="276" w:lineRule="auto"/>
    </w:pPr>
    <w:rPr>
      <w:rFonts w:ascii="Calibri" w:eastAsia="Calibri" w:hAnsi="Calibri" w:cs="Times New Roman"/>
    </w:rPr>
  </w:style>
  <w:style w:type="character" w:customStyle="1" w:styleId="af9">
    <w:name w:val="Верхний колонтитул Знак"/>
    <w:basedOn w:val="a0"/>
    <w:link w:val="af8"/>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port.gov-murman.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80026/4012"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72275618/100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О.А.</dc:creator>
  <cp:keywords/>
  <dc:description/>
  <cp:lastModifiedBy>Мосин С.В.</cp:lastModifiedBy>
  <cp:revision>9</cp:revision>
  <dcterms:created xsi:type="dcterms:W3CDTF">2022-12-29T16:31:00Z</dcterms:created>
  <dcterms:modified xsi:type="dcterms:W3CDTF">2023-02-15T06:43:00Z</dcterms:modified>
</cp:coreProperties>
</file>